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98C" w:rsidRDefault="00B22441">
      <w:pPr>
        <w:pStyle w:val="af1"/>
        <w:tabs>
          <w:tab w:val="clear" w:pos="4153"/>
          <w:tab w:val="center" w:pos="7938"/>
        </w:tabs>
        <w:rPr>
          <w:rFonts w:ascii="Arial" w:eastAsia="MS Mincho" w:hAnsi="Arial"/>
          <w:b/>
          <w:sz w:val="22"/>
          <w:szCs w:val="22"/>
        </w:rPr>
      </w:pPr>
      <w:bookmarkStart w:id="0" w:name="_Ref494746248"/>
      <w:bookmarkStart w:id="1" w:name="_GoBack"/>
      <w:r>
        <w:rPr>
          <w:rFonts w:ascii="Arial" w:eastAsia="MS Mincho" w:hAnsi="Arial"/>
          <w:b/>
          <w:sz w:val="22"/>
          <w:szCs w:val="22"/>
        </w:rPr>
        <w:t>3GPP TSG RAN WG1 #116</w:t>
      </w:r>
      <w:r>
        <w:rPr>
          <w:rFonts w:ascii="Arial" w:eastAsia="MS Mincho" w:hAnsi="Arial"/>
          <w:b/>
          <w:sz w:val="22"/>
          <w:szCs w:val="22"/>
        </w:rPr>
        <w:tab/>
        <w:t xml:space="preserve">                                  R1-2400299</w:t>
      </w:r>
    </w:p>
    <w:p w:rsidR="00E9498C" w:rsidRDefault="00B22441">
      <w:pPr>
        <w:tabs>
          <w:tab w:val="center" w:pos="4536"/>
          <w:tab w:val="right" w:pos="9072"/>
        </w:tabs>
        <w:rPr>
          <w:rFonts w:ascii="Arial" w:hAnsi="Arial" w:cs="Arial"/>
          <w:b/>
          <w:sz w:val="22"/>
          <w:lang w:eastAsia="ja-JP"/>
        </w:rPr>
      </w:pPr>
      <w:r>
        <w:rPr>
          <w:rFonts w:ascii="Arial" w:hAnsi="Arial" w:cs="Arial"/>
          <w:b/>
          <w:sz w:val="22"/>
          <w:lang w:eastAsia="ja-JP"/>
        </w:rPr>
        <w:t>Athens, Greece, February 26</w:t>
      </w:r>
      <w:r>
        <w:rPr>
          <w:rFonts w:ascii="Arial" w:hAnsi="Arial" w:cs="Arial" w:hint="eastAsia"/>
          <w:b/>
          <w:sz w:val="22"/>
          <w:vertAlign w:val="superscript"/>
          <w:lang w:eastAsia="ko-KR"/>
        </w:rPr>
        <w:t>th</w:t>
      </w:r>
      <w:r>
        <w:rPr>
          <w:rFonts w:ascii="Arial" w:hAnsi="Arial" w:cs="Arial"/>
          <w:b/>
          <w:sz w:val="22"/>
          <w:lang w:eastAsia="ja-JP"/>
        </w:rPr>
        <w:t xml:space="preserve"> </w:t>
      </w:r>
      <w:r>
        <w:rPr>
          <w:rFonts w:ascii="Arial" w:hAnsi="Arial" w:cs="Arial"/>
          <w:b/>
          <w:sz w:val="22"/>
        </w:rPr>
        <w:t>– March 1</w:t>
      </w:r>
      <w:r>
        <w:rPr>
          <w:rFonts w:ascii="Arial" w:hAnsi="Arial" w:cs="Arial"/>
          <w:b/>
          <w:sz w:val="22"/>
          <w:vertAlign w:val="superscript"/>
        </w:rPr>
        <w:t>st</w:t>
      </w:r>
      <w:r>
        <w:rPr>
          <w:rFonts w:ascii="Arial" w:hAnsi="Arial" w:cs="Arial"/>
          <w:b/>
          <w:sz w:val="22"/>
          <w:lang w:eastAsia="ja-JP"/>
        </w:rPr>
        <w:t>, 2024</w:t>
      </w:r>
    </w:p>
    <w:p w:rsidR="00E9498C" w:rsidRDefault="00E9498C">
      <w:pPr>
        <w:tabs>
          <w:tab w:val="left" w:pos="1418"/>
        </w:tabs>
        <w:spacing w:after="0"/>
        <w:rPr>
          <w:rFonts w:ascii="Arial" w:hAnsi="Arial"/>
          <w:b/>
        </w:rPr>
      </w:pPr>
    </w:p>
    <w:p w:rsidR="00E9498C" w:rsidRDefault="00B22441">
      <w:pPr>
        <w:tabs>
          <w:tab w:val="left" w:pos="2188"/>
        </w:tabs>
        <w:spacing w:after="0"/>
        <w:rPr>
          <w:rFonts w:ascii="Arial" w:hAnsi="Arial"/>
          <w:b/>
        </w:rPr>
      </w:pPr>
      <w:r>
        <w:rPr>
          <w:rFonts w:ascii="Arial" w:hAnsi="Arial"/>
          <w:b/>
        </w:rPr>
        <w:t xml:space="preserve">Title:  </w:t>
      </w:r>
      <w:r>
        <w:rPr>
          <w:rFonts w:ascii="Arial" w:hAnsi="Arial"/>
          <w:b/>
          <w:lang w:val="en-US"/>
        </w:rPr>
        <w:tab/>
      </w:r>
      <w:r>
        <w:rPr>
          <w:rFonts w:ascii="Arial" w:hAnsi="Arial"/>
          <w:b/>
        </w:rPr>
        <w:t>Discussion on UE feature topics A</w:t>
      </w:r>
    </w:p>
    <w:p w:rsidR="00E9498C" w:rsidRDefault="00B22441">
      <w:pPr>
        <w:tabs>
          <w:tab w:val="left" w:pos="218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E9498C" w:rsidRDefault="00B22441">
      <w:pPr>
        <w:spacing w:after="0"/>
        <w:rPr>
          <w:rFonts w:ascii="Arial" w:hAnsi="Arial"/>
          <w:b/>
          <w:lang w:eastAsia="zh-CN"/>
        </w:rPr>
      </w:pPr>
      <w:r>
        <w:rPr>
          <w:rFonts w:ascii="Arial" w:hAnsi="Arial"/>
          <w:b/>
        </w:rPr>
        <w:t xml:space="preserve">Agenda item:  </w:t>
      </w:r>
      <w:r>
        <w:rPr>
          <w:rFonts w:ascii="Arial" w:hAnsi="Arial"/>
          <w:b/>
          <w:lang w:val="en-US"/>
        </w:rPr>
        <w:tab/>
        <w:t xml:space="preserve">             </w:t>
      </w:r>
      <w:r>
        <w:rPr>
          <w:rFonts w:ascii="Arial" w:hAnsi="Arial"/>
          <w:b/>
        </w:rPr>
        <w:t>8.12.5</w:t>
      </w:r>
    </w:p>
    <w:p w:rsidR="00E9498C" w:rsidRDefault="00B22441">
      <w:pPr>
        <w:spacing w:after="240"/>
        <w:ind w:left="1990" w:hanging="1990"/>
        <w:rPr>
          <w:rFonts w:ascii="Arial" w:hAnsi="Arial"/>
          <w:b/>
        </w:rPr>
      </w:pPr>
      <w:r>
        <w:rPr>
          <w:rFonts w:ascii="Arial" w:hAnsi="Arial"/>
          <w:b/>
        </w:rPr>
        <w:t>Document for</w:t>
      </w:r>
      <w:bookmarkStart w:id="2" w:name="DocumentFor"/>
      <w:bookmarkEnd w:id="2"/>
      <w:r>
        <w:rPr>
          <w:rFonts w:ascii="Arial" w:hAnsi="Arial"/>
          <w:b/>
        </w:rPr>
        <w:t>:</w:t>
      </w:r>
      <w:r>
        <w:rPr>
          <w:rFonts w:ascii="Arial" w:hAnsi="Arial"/>
          <w:b/>
          <w:lang w:val="en-US"/>
        </w:rPr>
        <w:tab/>
        <w:t xml:space="preserve">   </w:t>
      </w:r>
      <w:r>
        <w:rPr>
          <w:rFonts w:ascii="Arial" w:hAnsi="Arial"/>
          <w:b/>
        </w:rPr>
        <w:t>Discussion/Decision</w:t>
      </w:r>
    </w:p>
    <w:p w:rsidR="00E9498C" w:rsidRDefault="00B22441">
      <w:pPr>
        <w:pStyle w:val="1"/>
        <w:pBdr>
          <w:top w:val="single" w:sz="12" w:space="0" w:color="auto"/>
        </w:pBdr>
      </w:pPr>
      <w:bookmarkStart w:id="3" w:name="_Ref4817"/>
      <w:r>
        <w:t>Introduction</w:t>
      </w:r>
      <w:bookmarkEnd w:id="0"/>
      <w:bookmarkEnd w:id="3"/>
    </w:p>
    <w:p w:rsidR="00E9498C" w:rsidRDefault="00B22441">
      <w:pPr>
        <w:rPr>
          <w:lang w:eastAsia="zh-CN"/>
        </w:rPr>
      </w:pPr>
      <w:r>
        <w:rPr>
          <w:rFonts w:hint="eastAsia"/>
          <w:lang w:eastAsia="zh-CN"/>
        </w:rPr>
        <w:t>I</w:t>
      </w:r>
      <w:r>
        <w:rPr>
          <w:lang w:eastAsia="zh-CN"/>
        </w:rPr>
        <w:t>n this contribution, we provide our views on the UE features for the following topics based on the latest UE feature list in [1].</w:t>
      </w:r>
    </w:p>
    <w:p w:rsidR="00E9498C" w:rsidRDefault="00B22441">
      <w:pPr>
        <w:pStyle w:val="aff5"/>
        <w:numPr>
          <w:ilvl w:val="0"/>
          <w:numId w:val="15"/>
        </w:numPr>
        <w:rPr>
          <w:lang w:val="en-US" w:eastAsia="zh-CN"/>
        </w:rPr>
      </w:pPr>
      <w:r>
        <w:t>XR</w:t>
      </w:r>
    </w:p>
    <w:p w:rsidR="00E9498C" w:rsidRDefault="00B22441">
      <w:pPr>
        <w:pStyle w:val="aff5"/>
        <w:numPr>
          <w:ilvl w:val="0"/>
          <w:numId w:val="15"/>
        </w:numPr>
        <w:rPr>
          <w:lang w:val="en-US" w:eastAsia="zh-CN"/>
        </w:rPr>
      </w:pPr>
      <w:r>
        <w:t xml:space="preserve">Coverage enhancements. </w:t>
      </w:r>
    </w:p>
    <w:p w:rsidR="00E9498C" w:rsidRDefault="00B22441">
      <w:pPr>
        <w:pStyle w:val="1"/>
      </w:pPr>
      <w:r>
        <w:t>UE features for XR</w:t>
      </w:r>
    </w:p>
    <w:p w:rsidR="00E9498C" w:rsidRDefault="00B22441">
      <w:pPr>
        <w:adjustRightInd w:val="0"/>
        <w:spacing w:afterLines="50"/>
      </w:pPr>
      <w:r>
        <w:rPr>
          <w:rFonts w:hint="eastAsia"/>
        </w:rPr>
        <w:t>I</w:t>
      </w:r>
      <w:r>
        <w:t>n RAN</w:t>
      </w:r>
      <w:r>
        <w:rPr>
          <w:rFonts w:hint="eastAsia"/>
        </w:rPr>
        <w:t>1#115 meeting, there is one remaining issue on UE feature of</w:t>
      </w:r>
      <w:r>
        <w:rPr>
          <w:rFonts w:hint="eastAsia"/>
        </w:rPr>
        <w:t xml:space="preserve"> Rel-18 XR, i.e., whether/how to capture the relationship with 11-9a and the note for the FG50-1b, which is</w:t>
      </w:r>
      <w:r>
        <w:t xml:space="preserve"> </w:t>
      </w:r>
      <w:r>
        <w:rPr>
          <w:rFonts w:hint="eastAsia"/>
        </w:rPr>
        <w:t>shown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565"/>
        <w:gridCol w:w="2719"/>
        <w:gridCol w:w="1322"/>
        <w:gridCol w:w="606"/>
        <w:gridCol w:w="2796"/>
      </w:tblGrid>
      <w:tr w:rsidR="00E9498C">
        <w:trPr>
          <w:trHeight w:val="20"/>
        </w:trPr>
        <w:tc>
          <w:tcPr>
            <w:tcW w:w="626"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t>Index</w:t>
            </w:r>
          </w:p>
        </w:tc>
        <w:tc>
          <w:tcPr>
            <w:tcW w:w="1565"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Feature group</w:t>
            </w:r>
          </w:p>
        </w:tc>
        <w:tc>
          <w:tcPr>
            <w:tcW w:w="2719"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Components</w:t>
            </w:r>
          </w:p>
        </w:tc>
        <w:tc>
          <w:tcPr>
            <w:tcW w:w="1322"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606"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t>Note</w:t>
            </w:r>
          </w:p>
        </w:tc>
      </w:tr>
      <w:tr w:rsidR="00E9498C">
        <w:trPr>
          <w:trHeight w:val="20"/>
        </w:trPr>
        <w:tc>
          <w:tcPr>
            <w:tcW w:w="626"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565"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rPr>
              <w:t xml:space="preserve">Joint release in a DCI for two or more configured grant </w:t>
            </w:r>
            <w:r>
              <w:rPr>
                <w:rFonts w:ascii="Times New Roman" w:hAnsi="Times New Roman" w:hint="eastAsia"/>
                <w:color w:val="000000"/>
                <w:sz w:val="16"/>
              </w:rPr>
              <w:t>Type 2 configurations, including multi-PUSCH CG configuration(s) for a given BWP of a serving cell.</w:t>
            </w:r>
          </w:p>
        </w:tc>
        <w:tc>
          <w:tcPr>
            <w:tcW w:w="2719" w:type="dxa"/>
            <w:tcBorders>
              <w:top w:val="single" w:sz="4" w:space="0" w:color="auto"/>
              <w:left w:val="nil"/>
              <w:bottom w:val="single" w:sz="4" w:space="0" w:color="auto"/>
              <w:right w:val="single" w:sz="4" w:space="0" w:color="auto"/>
            </w:tcBorders>
          </w:tcPr>
          <w:p w:rsidR="00E9498C" w:rsidRDefault="00B22441">
            <w:pPr>
              <w:spacing w:before="60"/>
              <w:contextualSpacing/>
              <w:rPr>
                <w:bCs/>
                <w:color w:val="000000"/>
                <w:kern w:val="2"/>
                <w:sz w:val="16"/>
                <w:szCs w:val="18"/>
              </w:rPr>
            </w:pPr>
            <w:r>
              <w:rPr>
                <w:rFonts w:hint="eastAsia"/>
                <w:bCs/>
                <w:color w:val="000000"/>
                <w:kern w:val="2"/>
                <w:sz w:val="16"/>
                <w:szCs w:val="18"/>
              </w:rPr>
              <w:t>M&lt;= 4 bits indication in the Release DCI is used for indicating which CG configuration(s) is/are released, where the association between each state indicate</w:t>
            </w:r>
            <w:r>
              <w:rPr>
                <w:rFonts w:hint="eastAsia"/>
                <w:bCs/>
                <w:color w:val="000000"/>
                <w:kern w:val="2"/>
                <w:sz w:val="16"/>
                <w:szCs w:val="18"/>
              </w:rPr>
              <w:t xml:space="preserve">d by the indication and the CG configuration(s) is </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w:t>
            </w:r>
            <w:r>
              <w:rPr>
                <w:bCs/>
                <w:color w:val="000000"/>
                <w:kern w:val="2"/>
                <w:sz w:val="16"/>
                <w:szCs w:val="18"/>
              </w:rPr>
              <w:t xml:space="preserve"> release is used where the release corresponds to the CG configuration index indicated by the indication</w:t>
            </w:r>
          </w:p>
          <w:p w:rsidR="00E9498C" w:rsidRDefault="00E9498C">
            <w:pPr>
              <w:spacing w:before="60"/>
              <w:contextualSpacing/>
              <w:rPr>
                <w:bCs/>
                <w:color w:val="000000"/>
                <w:kern w:val="2"/>
                <w:sz w:val="16"/>
                <w:szCs w:val="18"/>
              </w:rPr>
            </w:pPr>
          </w:p>
          <w:p w:rsidR="00E9498C" w:rsidRDefault="00B22441">
            <w:pPr>
              <w:spacing w:before="60"/>
              <w:contextualSpacing/>
              <w:rPr>
                <w:bCs/>
                <w:color w:val="000000"/>
                <w:kern w:val="2"/>
                <w:sz w:val="16"/>
                <w:szCs w:val="18"/>
                <w:highlight w:val="yellow"/>
              </w:rPr>
            </w:pPr>
            <w:r>
              <w:rPr>
                <w:rFonts w:hint="eastAsia"/>
                <w:bCs/>
                <w:color w:val="000000"/>
                <w:kern w:val="2"/>
                <w:sz w:val="16"/>
                <w:szCs w:val="18"/>
                <w:highlight w:val="yellow"/>
              </w:rPr>
              <w:t>FFS whether/how to capture the relationship with 11-9a</w:t>
            </w:r>
          </w:p>
        </w:tc>
        <w:tc>
          <w:tcPr>
            <w:tcW w:w="1322"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606"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 xml:space="preserve">Regarding the interpretation of UE capabilities in case of cross-carrier </w:t>
            </w:r>
            <w:r>
              <w:rPr>
                <w:rFonts w:ascii="Times New Roman" w:hAnsi="Times New Roman" w:hint="eastAsia"/>
                <w:color w:val="000000"/>
                <w:sz w:val="16"/>
                <w:highlight w:val="yellow"/>
              </w:rPr>
              <w:t>operation, support of FG50-1b is based on the support of this capability for the band of the scheduled/triggered/indicated cell only</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Note: For the case of joint release in a DCI for two or more configured grant Type 2 configurations, including multi-PUSCH</w:t>
            </w:r>
            <w:r>
              <w:rPr>
                <w:rFonts w:ascii="Times New Roman" w:hAnsi="Times New Roman" w:hint="eastAsia"/>
                <w:color w:val="000000"/>
                <w:sz w:val="16"/>
                <w:highlight w:val="yellow"/>
              </w:rPr>
              <w:t xml:space="preserve"> CG configuration(s), for given BWP of a serving cell, the reporting of this FG applies, i.e., ignore FG 11-9a.</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highlight w:val="yellow"/>
              </w:rPr>
              <w:t>If UE supports 11-9a but does not support this FG, the UE does not expect to be indicated for joint release including multi-PUSCH CG configurat</w:t>
            </w:r>
            <w:r>
              <w:rPr>
                <w:rFonts w:ascii="Times New Roman" w:hAnsi="Times New Roman" w:hint="eastAsia"/>
                <w:color w:val="000000"/>
                <w:sz w:val="16"/>
                <w:highlight w:val="yellow"/>
              </w:rPr>
              <w:t>ion(s).</w:t>
            </w:r>
          </w:p>
        </w:tc>
      </w:tr>
    </w:tbl>
    <w:p w:rsidR="00E9498C" w:rsidRDefault="00B22441">
      <w:pPr>
        <w:adjustRightInd w:val="0"/>
        <w:spacing w:after="0"/>
        <w:rPr>
          <w:iCs/>
        </w:rPr>
      </w:pPr>
      <w:r>
        <w:rPr>
          <w:iCs/>
        </w:rPr>
        <w:t xml:space="preserve"> </w:t>
      </w:r>
    </w:p>
    <w:p w:rsidR="00E9498C" w:rsidRDefault="00B22441">
      <w:pPr>
        <w:adjustRightInd w:val="0"/>
        <w:spacing w:after="0"/>
        <w:rPr>
          <w:iCs/>
        </w:rPr>
      </w:pPr>
      <w:r>
        <w:rPr>
          <w:iCs/>
        </w:rPr>
        <w:t>M</w:t>
      </w:r>
      <w:r>
        <w:rPr>
          <w:rFonts w:hint="eastAsia"/>
          <w:iCs/>
        </w:rPr>
        <w:t xml:space="preserve">ultiple active multi-PUSCHs configured grant configurations for a BWP of a serving cell was specified </w:t>
      </w:r>
      <w:r>
        <w:rPr>
          <w:iCs/>
        </w:rPr>
        <w:t>in</w:t>
      </w:r>
      <w:r>
        <w:rPr>
          <w:rFonts w:hint="eastAsia"/>
          <w:iCs/>
        </w:rPr>
        <w:t xml:space="preserve"> RAN1#114bis meeting. In our opinion, </w:t>
      </w:r>
      <w:r>
        <w:rPr>
          <w:iCs/>
        </w:rPr>
        <w:t xml:space="preserve">the </w:t>
      </w:r>
      <w:r>
        <w:rPr>
          <w:rFonts w:hint="eastAsia"/>
          <w:iCs/>
        </w:rPr>
        <w:t xml:space="preserve">following three cases of configured grant configurations can be included </w:t>
      </w:r>
      <w:r>
        <w:rPr>
          <w:iCs/>
        </w:rPr>
        <w:t>considering</w:t>
      </w:r>
      <w:r>
        <w:rPr>
          <w:rFonts w:hint="eastAsia"/>
          <w:iCs/>
        </w:rPr>
        <w:t xml:space="preserve"> the relations</w:t>
      </w:r>
      <w:r>
        <w:rPr>
          <w:rFonts w:hint="eastAsia"/>
          <w:iCs/>
        </w:rPr>
        <w:t>hip with 11-9</w:t>
      </w:r>
      <w:r>
        <w:rPr>
          <w:rFonts w:hint="eastAsia"/>
          <w:iCs/>
        </w:rPr>
        <w:t>.</w:t>
      </w:r>
    </w:p>
    <w:p w:rsidR="00E9498C" w:rsidRDefault="00B22441">
      <w:pPr>
        <w:pStyle w:val="aff5"/>
        <w:numPr>
          <w:ilvl w:val="0"/>
          <w:numId w:val="16"/>
        </w:numPr>
        <w:adjustRightInd w:val="0"/>
        <w:spacing w:after="0"/>
        <w:rPr>
          <w:iCs/>
        </w:rPr>
      </w:pPr>
      <w:r>
        <w:rPr>
          <w:rFonts w:hint="eastAsia"/>
          <w:iCs/>
        </w:rPr>
        <w:t>Case 1: There are only Rel-16 CG configurations (if UE supports FG 11-9 but does not support FG 50-1a).</w:t>
      </w:r>
    </w:p>
    <w:p w:rsidR="00E9498C" w:rsidRDefault="00B22441">
      <w:pPr>
        <w:pStyle w:val="aff5"/>
        <w:numPr>
          <w:ilvl w:val="0"/>
          <w:numId w:val="16"/>
        </w:numPr>
        <w:adjustRightInd w:val="0"/>
        <w:spacing w:after="0"/>
        <w:rPr>
          <w:iCs/>
        </w:rPr>
      </w:pPr>
      <w:r>
        <w:rPr>
          <w:rFonts w:hint="eastAsia"/>
          <w:iCs/>
        </w:rPr>
        <w:t>Case 2: There are only Rel-18 CG configurations (if UE supports FG 50-1a but does not support FG 11-9</w:t>
      </w:r>
      <w:r>
        <w:rPr>
          <w:rFonts w:hint="eastAsia"/>
          <w:iCs/>
        </w:rPr>
        <w:t>).</w:t>
      </w:r>
    </w:p>
    <w:p w:rsidR="00E9498C" w:rsidRDefault="00B22441">
      <w:pPr>
        <w:pStyle w:val="aff5"/>
        <w:numPr>
          <w:ilvl w:val="0"/>
          <w:numId w:val="16"/>
        </w:numPr>
        <w:adjustRightInd w:val="0"/>
        <w:spacing w:after="0"/>
        <w:rPr>
          <w:iCs/>
        </w:rPr>
      </w:pPr>
      <w:r>
        <w:rPr>
          <w:rFonts w:hint="eastAsia"/>
          <w:iCs/>
        </w:rPr>
        <w:t>Case 3: There are both Rel-16 C</w:t>
      </w:r>
      <w:r>
        <w:rPr>
          <w:rFonts w:hint="eastAsia"/>
          <w:iCs/>
        </w:rPr>
        <w:t>G configurations and Rel-18 CG configurations (Both FG 11-9</w:t>
      </w:r>
      <w:r>
        <w:rPr>
          <w:rFonts w:hint="eastAsia"/>
          <w:iCs/>
        </w:rPr>
        <w:t xml:space="preserve"> and FG 50-1a are supported)</w:t>
      </w:r>
    </w:p>
    <w:p w:rsidR="00E9498C" w:rsidRDefault="00B22441">
      <w:pPr>
        <w:adjustRightInd w:val="0"/>
        <w:spacing w:after="0"/>
        <w:rPr>
          <w:iCs/>
        </w:rPr>
      </w:pPr>
      <w:r>
        <w:rPr>
          <w:rFonts w:hint="eastAsia"/>
          <w:iCs/>
        </w:rPr>
        <w:t>In order to avoid large specification impact or vague definition of UE capability</w:t>
      </w:r>
      <w:r>
        <w:rPr>
          <w:iCs/>
        </w:rPr>
        <w:t>,</w:t>
      </w:r>
      <w:r>
        <w:rPr>
          <w:rFonts w:hint="eastAsia"/>
          <w:iCs/>
        </w:rPr>
        <w:t xml:space="preserve"> </w:t>
      </w:r>
      <w:r>
        <w:rPr>
          <w:iCs/>
        </w:rPr>
        <w:t>i</w:t>
      </w:r>
      <w:r>
        <w:rPr>
          <w:rFonts w:hint="eastAsia"/>
          <w:iCs/>
        </w:rPr>
        <w:t>t is good to make it clear whether or not the function supports joint release of af</w:t>
      </w:r>
      <w:r>
        <w:rPr>
          <w:rFonts w:hint="eastAsia"/>
          <w:iCs/>
        </w:rPr>
        <w:t>orementioned cases. Therefore, proposal 1 is provides as follows:</w:t>
      </w:r>
    </w:p>
    <w:p w:rsidR="00E9498C" w:rsidRDefault="00B22441">
      <w:pPr>
        <w:adjustRightInd w:val="0"/>
        <w:spacing w:beforeLines="50" w:before="120" w:afterLines="50"/>
        <w:rPr>
          <w:b/>
          <w:bCs/>
          <w:i/>
          <w:iCs/>
        </w:rPr>
      </w:pPr>
      <w:r>
        <w:rPr>
          <w:rFonts w:hint="eastAsia"/>
          <w:b/>
          <w:bCs/>
          <w:i/>
          <w:iCs/>
        </w:rPr>
        <w:t xml:space="preserve">Proposal 1: </w:t>
      </w:r>
      <w:r>
        <w:rPr>
          <w:rFonts w:hint="eastAsia"/>
          <w:i/>
          <w:iCs/>
        </w:rPr>
        <w:t>Support FG 50-1b with the function of supporting joint release of, including e.g., Rel-16 CG configurations, Rel-18 CG configuration and both Rel-16 CG configuration</w:t>
      </w:r>
      <w:r>
        <w:rPr>
          <w:i/>
          <w:iCs/>
        </w:rPr>
        <w:t>s and</w:t>
      </w:r>
      <w:r>
        <w:rPr>
          <w:rFonts w:hint="eastAsia"/>
          <w:i/>
          <w:iCs/>
        </w:rPr>
        <w:t xml:space="preserve"> Rel-18 </w:t>
      </w:r>
      <w:r>
        <w:rPr>
          <w:rFonts w:hint="eastAsia"/>
          <w:i/>
          <w:iCs/>
        </w:rPr>
        <w:t>CG configurations.</w:t>
      </w:r>
    </w:p>
    <w:p w:rsidR="00E9498C" w:rsidRDefault="00B22441">
      <w:pPr>
        <w:adjustRightInd w:val="0"/>
        <w:spacing w:after="0"/>
        <w:rPr>
          <w:iCs/>
        </w:rPr>
      </w:pPr>
      <w:r>
        <w:rPr>
          <w:rFonts w:hint="eastAsia"/>
          <w:iCs/>
        </w:rPr>
        <w:t xml:space="preserve">Moreover, as discussed in the column of </w:t>
      </w:r>
      <w:r>
        <w:rPr>
          <w:iCs/>
        </w:rPr>
        <w:t>‘</w:t>
      </w:r>
      <w:r>
        <w:rPr>
          <w:rFonts w:hint="eastAsia"/>
          <w:iCs/>
        </w:rPr>
        <w:t>Note</w:t>
      </w:r>
      <w:r>
        <w:rPr>
          <w:iCs/>
        </w:rPr>
        <w:t>’</w:t>
      </w:r>
      <w:r>
        <w:rPr>
          <w:rFonts w:hint="eastAsia"/>
          <w:iCs/>
        </w:rPr>
        <w:t xml:space="preserve"> at RAN1#115, the formulation is pending and basically can capture the relationship with 11-9a. For the first paragraph, it illustrates the UE capability for supporting joint release in case </w:t>
      </w:r>
      <w:r>
        <w:rPr>
          <w:rFonts w:hint="eastAsia"/>
          <w:iCs/>
        </w:rPr>
        <w:t xml:space="preserve">of cross-carrier operation, which is similar with that of FG 11-9a. For the second paragraph and third paragraph, it determines that how to deal with the case </w:t>
      </w:r>
      <w:r>
        <w:rPr>
          <w:iCs/>
        </w:rPr>
        <w:t>when</w:t>
      </w:r>
      <w:r>
        <w:rPr>
          <w:rFonts w:hint="eastAsia"/>
          <w:iCs/>
        </w:rPr>
        <w:t xml:space="preserve"> UE supports FG 11-9a and/or FG 50-1b. Specifically, </w:t>
      </w:r>
      <w:r>
        <w:rPr>
          <w:iCs/>
        </w:rPr>
        <w:t>the intention is that i</w:t>
      </w:r>
      <w:r>
        <w:rPr>
          <w:rFonts w:hint="eastAsia"/>
          <w:iCs/>
        </w:rPr>
        <w:t xml:space="preserve">f UE supports FG </w:t>
      </w:r>
      <w:r>
        <w:rPr>
          <w:rFonts w:hint="eastAsia"/>
          <w:iCs/>
        </w:rPr>
        <w:t xml:space="preserve">50-1b, </w:t>
      </w:r>
      <w:r>
        <w:rPr>
          <w:iCs/>
        </w:rPr>
        <w:t xml:space="preserve">or </w:t>
      </w:r>
      <w:r>
        <w:rPr>
          <w:rFonts w:hint="eastAsia"/>
          <w:iCs/>
        </w:rPr>
        <w:t>UE supports both FG 11-9a and FG 50-1b</w:t>
      </w:r>
      <w:r>
        <w:rPr>
          <w:iCs/>
        </w:rPr>
        <w:t xml:space="preserve">, </w:t>
      </w:r>
      <w:r>
        <w:rPr>
          <w:rFonts w:hint="eastAsia"/>
          <w:iCs/>
        </w:rPr>
        <w:t xml:space="preserve">the mentioned case 2/3 are supported. In addition, if UE supports FG 11-9a but does not support this FG 50-1b, we agree that legacy FG 11-9a is remained as third paragraph describes. </w:t>
      </w:r>
      <w:r>
        <w:rPr>
          <w:iCs/>
        </w:rPr>
        <w:t>But</w:t>
      </w:r>
      <w:r>
        <w:rPr>
          <w:rFonts w:hint="eastAsia"/>
          <w:iCs/>
        </w:rPr>
        <w:t xml:space="preserve"> we </w:t>
      </w:r>
      <w:r>
        <w:rPr>
          <w:iCs/>
        </w:rPr>
        <w:t>prefer</w:t>
      </w:r>
      <w:r>
        <w:rPr>
          <w:rFonts w:hint="eastAsia"/>
          <w:iCs/>
        </w:rPr>
        <w:t xml:space="preserve"> to separa</w:t>
      </w:r>
      <w:r>
        <w:rPr>
          <w:rFonts w:hint="eastAsia"/>
          <w:iCs/>
        </w:rPr>
        <w:t>tely clarify these cases</w:t>
      </w:r>
      <w:r>
        <w:rPr>
          <w:iCs/>
        </w:rPr>
        <w:t xml:space="preserve"> to make UE’s behaviour clear.</w:t>
      </w:r>
      <w:r>
        <w:rPr>
          <w:rFonts w:hint="eastAsia"/>
          <w:iCs/>
        </w:rPr>
        <w:t xml:space="preserve"> Thus, </w:t>
      </w:r>
      <w:r>
        <w:rPr>
          <w:iCs/>
        </w:rPr>
        <w:t>we suggest to update the FG 50-1b as follows</w:t>
      </w:r>
      <w:r>
        <w:rPr>
          <w:rFonts w:hint="eastAsia"/>
          <w:iCs/>
        </w:rPr>
        <w:t>:</w:t>
      </w:r>
    </w:p>
    <w:p w:rsidR="00E9498C" w:rsidRDefault="00B22441">
      <w:pPr>
        <w:adjustRightInd w:val="0"/>
        <w:spacing w:beforeLines="50" w:before="120" w:afterLines="50"/>
        <w:rPr>
          <w:iCs/>
        </w:rPr>
      </w:pPr>
      <w:r>
        <w:rPr>
          <w:rFonts w:hint="eastAsia"/>
          <w:b/>
          <w:bCs/>
          <w:i/>
          <w:iCs/>
        </w:rPr>
        <w:t>P</w:t>
      </w:r>
      <w:r>
        <w:rPr>
          <w:b/>
          <w:bCs/>
          <w:i/>
          <w:iCs/>
        </w:rPr>
        <w:t xml:space="preserve">roposal </w:t>
      </w:r>
      <w:r>
        <w:rPr>
          <w:rFonts w:hint="eastAsia"/>
          <w:b/>
          <w:bCs/>
          <w:i/>
          <w:iCs/>
        </w:rPr>
        <w:t>2</w:t>
      </w:r>
      <w:r>
        <w:rPr>
          <w:b/>
          <w:bCs/>
          <w:i/>
          <w:iCs/>
        </w:rPr>
        <w:t>:</w:t>
      </w:r>
      <w:r>
        <w:rPr>
          <w:bCs/>
          <w:i/>
          <w:iCs/>
        </w:rPr>
        <w:t xml:space="preserve"> Update</w:t>
      </w:r>
      <w:r>
        <w:rPr>
          <w:rFonts w:hint="eastAsia"/>
          <w:bCs/>
          <w:i/>
          <w:iCs/>
        </w:rPr>
        <w:t xml:space="preserve"> the FG 50-1b </w:t>
      </w:r>
      <w:r>
        <w:rPr>
          <w:bCs/>
          <w:i/>
          <w:iCs/>
        </w:rPr>
        <w:t>as follows.</w:t>
      </w:r>
      <w:r>
        <w:rPr>
          <w:rFonts w:hint="eastAsia"/>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425"/>
        <w:gridCol w:w="3822"/>
      </w:tblGrid>
      <w:tr w:rsidR="00E9498C">
        <w:trPr>
          <w:trHeight w:val="20"/>
        </w:trPr>
        <w:tc>
          <w:tcPr>
            <w:tcW w:w="562"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lastRenderedPageBreak/>
              <w:t>Index</w:t>
            </w:r>
          </w:p>
        </w:tc>
        <w:tc>
          <w:tcPr>
            <w:tcW w:w="1134"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Feature group</w:t>
            </w:r>
          </w:p>
        </w:tc>
        <w:tc>
          <w:tcPr>
            <w:tcW w:w="2552"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Components</w:t>
            </w:r>
          </w:p>
        </w:tc>
        <w:tc>
          <w:tcPr>
            <w:tcW w:w="1134"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425"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t>Note</w:t>
            </w:r>
          </w:p>
        </w:tc>
      </w:tr>
      <w:tr w:rsidR="00E9498C">
        <w:trPr>
          <w:trHeight w:val="20"/>
        </w:trPr>
        <w:tc>
          <w:tcPr>
            <w:tcW w:w="562"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13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rPr>
              <w:t xml:space="preserve">Joint release in a DCI for two </w:t>
            </w:r>
            <w:r>
              <w:rPr>
                <w:rFonts w:ascii="Times New Roman" w:hAnsi="Times New Roman" w:hint="eastAsia"/>
                <w:color w:val="000000"/>
                <w:sz w:val="16"/>
              </w:rPr>
              <w:t>or more configured grant Type 2 configurations, including multi-PUSCH CG configuration(s) for a given BWP of a serving cell.</w:t>
            </w:r>
          </w:p>
        </w:tc>
        <w:tc>
          <w:tcPr>
            <w:tcW w:w="2552" w:type="dxa"/>
            <w:tcBorders>
              <w:top w:val="single" w:sz="4" w:space="0" w:color="auto"/>
              <w:left w:val="nil"/>
              <w:bottom w:val="single" w:sz="4" w:space="0" w:color="auto"/>
              <w:right w:val="single" w:sz="4" w:space="0" w:color="auto"/>
            </w:tcBorders>
          </w:tcPr>
          <w:p w:rsidR="00E9498C" w:rsidRDefault="00B22441">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w:t>
            </w:r>
            <w:r>
              <w:rPr>
                <w:bCs/>
                <w:color w:val="000000"/>
                <w:kern w:val="2"/>
                <w:sz w:val="16"/>
                <w:szCs w:val="18"/>
              </w:rPr>
              <w:t>, where each of the state can be mapped to a single or multiple CG configurations to be released</w:t>
            </w:r>
            <w:r>
              <w:rPr>
                <w:rFonts w:hint="eastAsia"/>
                <w:bCs/>
                <w:color w:val="000000"/>
                <w:kern w:val="2"/>
                <w:sz w:val="16"/>
                <w:szCs w:val="18"/>
              </w:rPr>
              <w:t>.</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w:t>
            </w:r>
            <w:r>
              <w:rPr>
                <w:bCs/>
                <w:color w:val="000000"/>
                <w:kern w:val="2"/>
                <w:sz w:val="16"/>
                <w:szCs w:val="18"/>
              </w:rPr>
              <w:t>tion</w:t>
            </w:r>
          </w:p>
          <w:p w:rsidR="00E9498C" w:rsidRDefault="00E9498C">
            <w:pPr>
              <w:spacing w:before="60"/>
              <w:contextualSpacing/>
              <w:rPr>
                <w:bCs/>
                <w:color w:val="000000"/>
                <w:kern w:val="2"/>
                <w:sz w:val="16"/>
                <w:szCs w:val="18"/>
              </w:rPr>
            </w:pPr>
          </w:p>
          <w:p w:rsidR="00E9498C" w:rsidRDefault="00B22441">
            <w:pPr>
              <w:spacing w:before="60"/>
              <w:contextualSpacing/>
              <w:rPr>
                <w:bCs/>
                <w:strike/>
                <w:color w:val="FF0000"/>
                <w:kern w:val="2"/>
                <w:sz w:val="16"/>
                <w:szCs w:val="18"/>
              </w:rPr>
            </w:pPr>
            <w:r>
              <w:rPr>
                <w:rFonts w:hint="eastAsia"/>
                <w:bCs/>
                <w:strike/>
                <w:color w:val="FF0000"/>
                <w:kern w:val="2"/>
                <w:sz w:val="16"/>
                <w:szCs w:val="18"/>
              </w:rPr>
              <w:t>FFS whether/how to capture the relationship with 11-9a</w:t>
            </w:r>
          </w:p>
        </w:tc>
        <w:tc>
          <w:tcPr>
            <w:tcW w:w="113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425"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rPr>
              <w:t xml:space="preserve">Regarding the interpretation of UE capabilities in case of cross-carrier operation, support of FG50-1b is based on the support of this capability for the band of the </w:t>
            </w:r>
            <w:r>
              <w:rPr>
                <w:rFonts w:ascii="Times New Roman" w:hAnsi="Times New Roman" w:hint="eastAsia"/>
                <w:color w:val="000000"/>
                <w:sz w:val="16"/>
              </w:rPr>
              <w:t>scheduled/triggered/indicated cell only</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strike/>
                <w:color w:val="FF0000"/>
                <w:sz w:val="16"/>
              </w:rPr>
            </w:pPr>
            <w:r>
              <w:rPr>
                <w:rFonts w:ascii="Times New Roman" w:hAnsi="Times New Roman" w:hint="eastAsia"/>
                <w:iCs/>
                <w:color w:val="FF0000"/>
                <w:sz w:val="16"/>
              </w:rPr>
              <w:t xml:space="preserve">If UE supports 50-1b, the UE </w:t>
            </w:r>
            <w:r>
              <w:rPr>
                <w:rFonts w:ascii="Times New Roman" w:hAnsi="Times New Roman"/>
                <w:iCs/>
                <w:color w:val="FF0000"/>
                <w:sz w:val="16"/>
              </w:rPr>
              <w:t>can be indicated to</w:t>
            </w:r>
            <w:r>
              <w:rPr>
                <w:rFonts w:ascii="Times New Roman" w:hAnsi="Times New Roman"/>
                <w:color w:val="FF0000"/>
                <w:sz w:val="16"/>
              </w:rPr>
              <w:t xml:space="preserve"> jointly release in a DCI for two or more configured grant Type 2 configurations, including multi-PUSCH CG configuration(s), for given BWP of a serving cell, </w:t>
            </w:r>
          </w:p>
          <w:p w:rsidR="00E9498C" w:rsidRDefault="00B22441">
            <w:pPr>
              <w:pStyle w:val="TAL"/>
              <w:snapToGrid w:val="0"/>
              <w:rPr>
                <w:rFonts w:ascii="Times New Roman" w:hAnsi="Times New Roman"/>
                <w:iCs/>
                <w:color w:val="FF0000"/>
                <w:sz w:val="16"/>
              </w:rPr>
            </w:pPr>
            <w:r>
              <w:rPr>
                <w:rFonts w:ascii="Times New Roman" w:hAnsi="Times New Roman" w:hint="eastAsia"/>
                <w:iCs/>
                <w:color w:val="FF0000"/>
                <w:sz w:val="16"/>
              </w:rPr>
              <w:t>If UE su</w:t>
            </w:r>
            <w:r>
              <w:rPr>
                <w:rFonts w:ascii="Times New Roman" w:hAnsi="Times New Roman" w:hint="eastAsia"/>
                <w:iCs/>
                <w:color w:val="FF0000"/>
                <w:sz w:val="16"/>
              </w:rPr>
              <w:t xml:space="preserve">pports both 50-1a and 11-9a, the UE </w:t>
            </w:r>
            <w:r>
              <w:rPr>
                <w:rFonts w:ascii="Times New Roman" w:hAnsi="Times New Roman"/>
                <w:iCs/>
                <w:color w:val="FF0000"/>
                <w:sz w:val="16"/>
              </w:rPr>
              <w:t xml:space="preserve">can be indicated to </w:t>
            </w:r>
            <w:r>
              <w:rPr>
                <w:rFonts w:ascii="Times New Roman" w:hAnsi="Times New Roman" w:hint="eastAsia"/>
                <w:iCs/>
                <w:color w:val="FF0000"/>
                <w:sz w:val="16"/>
              </w:rPr>
              <w:t>jointly release in a DCI for two or more configured grant Type 2 configurations, including multi-PUSCH CG configuration(s), for given BWP of a serving cell, and FG 11-9a is ignored.</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color w:val="000000"/>
                <w:sz w:val="16"/>
              </w:rPr>
            </w:pPr>
            <w:r>
              <w:rPr>
                <w:rFonts w:ascii="Times New Roman" w:hAnsi="Times New Roman" w:hint="eastAsia"/>
                <w:sz w:val="16"/>
              </w:rPr>
              <w:t>If UE supports 11</w:t>
            </w:r>
            <w:r>
              <w:rPr>
                <w:rFonts w:ascii="Times New Roman" w:hAnsi="Times New Roman" w:hint="eastAsia"/>
                <w:sz w:val="16"/>
              </w:rPr>
              <w:t>-9a but does not support this FG, the UE does not expect to be indicated for joint release including multi-PUSCH CG configuration(s).</w:t>
            </w:r>
          </w:p>
        </w:tc>
      </w:tr>
    </w:tbl>
    <w:p w:rsidR="00E9498C" w:rsidRDefault="00E9498C">
      <w:pPr>
        <w:adjustRightInd w:val="0"/>
        <w:spacing w:after="0"/>
        <w:rPr>
          <w:iCs/>
        </w:rPr>
      </w:pPr>
    </w:p>
    <w:p w:rsidR="00E9498C" w:rsidRDefault="00B22441">
      <w:pPr>
        <w:pStyle w:val="1"/>
      </w:pPr>
      <w:r>
        <w:t>UE features for coverage enhancements</w:t>
      </w:r>
    </w:p>
    <w:p w:rsidR="00E9498C" w:rsidRDefault="00B22441">
      <w:r>
        <w:rPr>
          <w:lang w:eastAsia="zh-CN"/>
        </w:rPr>
        <w:t>The discussion on UE feature for coverage enhancement in RAN1#115 is summarized in</w:t>
      </w:r>
      <w:r>
        <w:rPr>
          <w:lang w:eastAsia="zh-CN"/>
        </w:rPr>
        <w:t xml:space="preserve"> [2]. In this section, we provide our views on the remaining issues of UE features for coverage enhancements.</w:t>
      </w:r>
    </w:p>
    <w:p w:rsidR="00E9498C" w:rsidRDefault="00B22441">
      <w:pPr>
        <w:pStyle w:val="2"/>
      </w:pPr>
      <w:bookmarkStart w:id="4" w:name="OLE_LINK15"/>
      <w:r>
        <w:t>UE features for multiple PRACH transmissions with the same beam</w:t>
      </w:r>
    </w:p>
    <w:p w:rsidR="00E9498C" w:rsidRDefault="00B22441">
      <w:pPr>
        <w:spacing w:beforeLines="50" w:before="120"/>
        <w:rPr>
          <w:lang w:val="en-US" w:eastAsia="zh-CN"/>
        </w:rPr>
      </w:pPr>
      <w:r>
        <w:rPr>
          <w:rFonts w:hint="eastAsia"/>
          <w:iCs/>
          <w:lang w:val="en-US" w:eastAsia="zh-CN"/>
        </w:rPr>
        <w:t>In</w:t>
      </w:r>
      <w:r>
        <w:rPr>
          <w:iCs/>
          <w:lang w:val="en-US" w:eastAsia="zh-CN"/>
        </w:rPr>
        <w:t xml:space="preserve"> the RAN1#115 meeting, it was agreed to introduce a new UE capability for the dropping rule for multiple PRACH transmissions as follows.</w:t>
      </w:r>
      <w:r>
        <w:rPr>
          <w:lang w:val="en-US" w:eastAsia="zh-CN"/>
        </w:rPr>
        <w:t xml:space="preserve"> </w:t>
      </w:r>
    </w:p>
    <w:tbl>
      <w:tblPr>
        <w:tblStyle w:val="afd"/>
        <w:tblW w:w="9629" w:type="dxa"/>
        <w:tblLook w:val="04A0" w:firstRow="1" w:lastRow="0" w:firstColumn="1" w:lastColumn="0" w:noHBand="0" w:noVBand="1"/>
      </w:tblPr>
      <w:tblGrid>
        <w:gridCol w:w="9629"/>
      </w:tblGrid>
      <w:tr w:rsidR="00E9498C">
        <w:tc>
          <w:tcPr>
            <w:tcW w:w="9629" w:type="dxa"/>
          </w:tcPr>
          <w:p w:rsidR="00E9498C" w:rsidRDefault="00B22441">
            <w:pPr>
              <w:rPr>
                <w:highlight w:val="green"/>
                <w:lang w:val="en-US" w:eastAsia="zh-CN"/>
              </w:rPr>
            </w:pPr>
            <w:r>
              <w:rPr>
                <w:highlight w:val="green"/>
                <w:lang w:val="en-US" w:eastAsia="zh-CN"/>
              </w:rPr>
              <w:t>Agreement</w:t>
            </w:r>
          </w:p>
          <w:p w:rsidR="00E9498C" w:rsidRDefault="00B22441">
            <w:pPr>
              <w:rPr>
                <w:lang w:val="en-US" w:eastAsia="zh-CN"/>
              </w:rPr>
            </w:pPr>
            <w:r>
              <w:rPr>
                <w:lang w:val="en-US" w:eastAsia="zh-CN"/>
              </w:rPr>
              <w:t xml:space="preserve">The TP below is endorsed in principle for </w:t>
            </w:r>
            <w:r>
              <w:rPr>
                <w:szCs w:val="21"/>
              </w:rPr>
              <w:t>TS 38.213 and an additional new UE capability is introduced for th</w:t>
            </w:r>
            <w:r>
              <w:rPr>
                <w:szCs w:val="21"/>
              </w:rPr>
              <w:t>e UE behaviour introduced by this TP.</w:t>
            </w:r>
          </w:p>
          <w:p w:rsidR="00E9498C" w:rsidRDefault="00B22441">
            <w:pPr>
              <w:overflowPunct w:val="0"/>
              <w:autoSpaceDE w:val="0"/>
              <w:autoSpaceDN w:val="0"/>
              <w:adjustRightInd w:val="0"/>
              <w:textAlignment w:val="baseline"/>
              <w:rPr>
                <w:szCs w:val="21"/>
              </w:rPr>
            </w:pPr>
            <w:r>
              <w:rPr>
                <w:b/>
                <w:bCs/>
                <w:szCs w:val="21"/>
              </w:rPr>
              <w:t>Note1</w:t>
            </w:r>
            <w:r>
              <w:rPr>
                <w:rFonts w:hint="eastAsia"/>
                <w:szCs w:val="21"/>
              </w:rPr>
              <w:t>:</w:t>
            </w:r>
            <w:r>
              <w:rPr>
                <w:szCs w:val="21"/>
              </w:rPr>
              <w:t xml:space="preserve"> editor can provide revisions for the TP below to avoid impacts on any feature other than Rel-18 PRACH repetitions.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E9498C">
              <w:tc>
                <w:tcPr>
                  <w:tcW w:w="9736" w:type="dxa"/>
                  <w:shd w:val="clear" w:color="auto" w:fill="auto"/>
                </w:tcPr>
                <w:p w:rsidR="00E9498C" w:rsidRDefault="00B22441">
                  <w:pPr>
                    <w:rPr>
                      <w:szCs w:val="21"/>
                    </w:rPr>
                  </w:pPr>
                  <w:r>
                    <w:rPr>
                      <w:szCs w:val="21"/>
                    </w:rPr>
                    <w:t>8.1</w:t>
                  </w:r>
                  <w:r>
                    <w:rPr>
                      <w:szCs w:val="21"/>
                    </w:rPr>
                    <w:tab/>
                    <w:t>Random access preamble</w:t>
                  </w:r>
                </w:p>
                <w:p w:rsidR="00E9498C" w:rsidRDefault="00B22441">
                  <w:pPr>
                    <w:keepNext/>
                    <w:keepLines/>
                    <w:spacing w:after="60"/>
                    <w:ind w:left="1134" w:hanging="1134"/>
                    <w:jc w:val="center"/>
                    <w:outlineLvl w:val="1"/>
                    <w:rPr>
                      <w:color w:val="FF0000"/>
                      <w:szCs w:val="21"/>
                    </w:rPr>
                  </w:pPr>
                  <w:r>
                    <w:rPr>
                      <w:color w:val="FF0000"/>
                      <w:szCs w:val="21"/>
                    </w:rPr>
                    <w:t>*** Unchanged parts are omitted ***</w:t>
                  </w:r>
                </w:p>
                <w:p w:rsidR="00E9498C" w:rsidRDefault="00B22441">
                  <w:pPr>
                    <w:spacing w:after="60"/>
                    <w:rPr>
                      <w:color w:val="FF0000"/>
                      <w:szCs w:val="21"/>
                    </w:rPr>
                  </w:pPr>
                  <w:r>
                    <w:rPr>
                      <w:szCs w:val="21"/>
                    </w:rPr>
                    <w:t xml:space="preserve">For single cell operation or for operation with contiguous carrier aggregation in a same frequency band or for operation with non-contiguous carrier aggregation in a same frequency band if the UE is not provided with </w:t>
                  </w:r>
                  <w:r>
                    <w:rPr>
                      <w:i/>
                      <w:szCs w:val="21"/>
                    </w:rPr>
                    <w:t>intraBandNC-PRACH-simulTx-r17</w:t>
                  </w:r>
                  <w:r>
                    <w:rPr>
                      <w:szCs w:val="21"/>
                    </w:rPr>
                    <w:t>, a UE doe</w:t>
                  </w:r>
                  <w:r>
                    <w:rPr>
                      <w:szCs w:val="21"/>
                    </w:rPr>
                    <w:t xml:space="preserve">s not transmit PRACH and PUSCH/PUCCH/SRS in a same slot with respect to the smallest SCS configuration between the SCS configuration for the UL BWP with the PRACH and the SCS configuration for the UL BWP with the PUSCH/PUCCH/SRS transmissions </w:t>
                  </w:r>
                  <w:r>
                    <w:rPr>
                      <w:strike/>
                      <w:color w:val="FF0000"/>
                      <w:szCs w:val="21"/>
                    </w:rPr>
                    <w:t xml:space="preserve">or </w:t>
                  </w:r>
                  <w:r>
                    <w:rPr>
                      <w:color w:val="FF0000"/>
                      <w:szCs w:val="21"/>
                      <w:u w:val="single"/>
                    </w:rPr>
                    <w:t>and a UE m</w:t>
                  </w:r>
                  <w:r>
                    <w:rPr>
                      <w:color w:val="FF0000"/>
                      <w:szCs w:val="21"/>
                      <w:u w:val="single"/>
                    </w:rPr>
                    <w:t>ay not transmit PRACH and PUSCH/PUCCH/SRS</w:t>
                  </w:r>
                  <w:r>
                    <w:rPr>
                      <w:rFonts w:hint="eastAsia"/>
                      <w:color w:val="FF0000"/>
                      <w:szCs w:val="21"/>
                      <w:u w:val="single"/>
                    </w:rPr>
                    <w:t>/</w:t>
                  </w:r>
                  <w:r>
                    <w:rPr>
                      <w:color w:val="FF0000"/>
                      <w:szCs w:val="21"/>
                      <w:u w:val="single"/>
                    </w:rPr>
                    <w:t>PRACH</w:t>
                  </w:r>
                  <w:r>
                    <w:rPr>
                      <w:szCs w:val="21"/>
                    </w:rPr>
                    <w:t xml:space="preserve"> when a gap between the first or last symbol of a PRACH transmission in a first slot is separated by less than </w:t>
                  </w:r>
                  <m:oMath>
                    <m:r>
                      <w:rPr>
                        <w:rFonts w:ascii="Cambria Math" w:hAnsi="Cambria Math"/>
                        <w:szCs w:val="21"/>
                      </w:rPr>
                      <m:t>N</m:t>
                    </m:r>
                  </m:oMath>
                  <w:r>
                    <w:rPr>
                      <w:szCs w:val="21"/>
                    </w:rPr>
                    <w:t xml:space="preserve"> symbols from the last or first symbol, respectively, of a PUSCH/PUCCH/SRS</w:t>
                  </w:r>
                  <w:r>
                    <w:rPr>
                      <w:color w:val="FF0000"/>
                      <w:szCs w:val="21"/>
                      <w:u w:val="single"/>
                    </w:rPr>
                    <w:t>/PRACH</w:t>
                  </w:r>
                  <w:r>
                    <w:rPr>
                      <w:szCs w:val="21"/>
                    </w:rPr>
                    <w:t xml:space="preserve"> transmission in</w:t>
                  </w:r>
                  <w:r>
                    <w:rPr>
                      <w:szCs w:val="21"/>
                    </w:rPr>
                    <w:t xml:space="preserve"> a second slot where </w:t>
                  </w:r>
                  <m:oMath>
                    <m:r>
                      <w:rPr>
                        <w:rFonts w:ascii="Cambria Math" w:hAnsi="Cambria Math"/>
                        <w:szCs w:val="21"/>
                      </w:rPr>
                      <m:t>N</m:t>
                    </m:r>
                    <m:r>
                      <w:rPr>
                        <w:rFonts w:ascii="Cambria Math" w:hAnsi="Cambria Math"/>
                        <w:szCs w:val="21"/>
                      </w:rPr>
                      <m:t>=2</m:t>
                    </m:r>
                  </m:oMath>
                  <w:r>
                    <w:rPr>
                      <w:szCs w:val="21"/>
                    </w:rPr>
                    <w:t xml:space="preserve"> for </w:t>
                  </w:r>
                  <m:oMath>
                    <m:r>
                      <w:rPr>
                        <w:rFonts w:ascii="Cambria Math" w:hAnsi="Cambria Math"/>
                        <w:szCs w:val="21"/>
                      </w:rPr>
                      <m:t>μ</m:t>
                    </m:r>
                    <m:r>
                      <w:rPr>
                        <w:rFonts w:ascii="Cambria Math" w:hAnsi="Cambria Math"/>
                        <w:szCs w:val="21"/>
                      </w:rPr>
                      <m:t>=0</m:t>
                    </m:r>
                  </m:oMath>
                  <w:r>
                    <w:rPr>
                      <w:szCs w:val="21"/>
                    </w:rPr>
                    <w:t xml:space="preserve"> or </w:t>
                  </w:r>
                  <m:oMath>
                    <m:r>
                      <w:rPr>
                        <w:rFonts w:ascii="Cambria Math" w:hAnsi="Cambria Math"/>
                        <w:szCs w:val="21"/>
                      </w:rPr>
                      <m:t>μ</m:t>
                    </m:r>
                    <m:r>
                      <w:rPr>
                        <w:rFonts w:ascii="Cambria Math" w:hAnsi="Cambria Math"/>
                        <w:szCs w:val="21"/>
                      </w:rPr>
                      <m:t>=</m:t>
                    </m:r>
                  </m:oMath>
                  <w:r>
                    <w:rPr>
                      <w:szCs w:val="21"/>
                    </w:rPr>
                    <w:t xml:space="preserve">1, </w:t>
                  </w:r>
                  <m:oMath>
                    <m:r>
                      <w:rPr>
                        <w:rFonts w:ascii="Cambria Math" w:hAnsi="Cambria Math"/>
                        <w:szCs w:val="21"/>
                      </w:rPr>
                      <m:t>N</m:t>
                    </m:r>
                    <m:r>
                      <w:rPr>
                        <w:rFonts w:ascii="Cambria Math" w:hAnsi="Cambria Math"/>
                        <w:szCs w:val="21"/>
                      </w:rPr>
                      <m:t>=4</m:t>
                    </m:r>
                  </m:oMath>
                  <w:r>
                    <w:rPr>
                      <w:szCs w:val="21"/>
                    </w:rPr>
                    <w:t xml:space="preserve"> for </w:t>
                  </w:r>
                  <m:oMath>
                    <m:r>
                      <w:rPr>
                        <w:rFonts w:ascii="Cambria Math" w:hAnsi="Cambria Math"/>
                        <w:szCs w:val="21"/>
                      </w:rPr>
                      <m:t>μ</m:t>
                    </m:r>
                    <m:r>
                      <w:rPr>
                        <w:rFonts w:ascii="Cambria Math" w:hAnsi="Cambria Math"/>
                        <w:szCs w:val="21"/>
                      </w:rPr>
                      <m:t>=2</m:t>
                    </m:r>
                  </m:oMath>
                  <w:r>
                    <w:rPr>
                      <w:szCs w:val="21"/>
                    </w:rPr>
                    <w:t xml:space="preserve"> or </w:t>
                  </w:r>
                  <m:oMath>
                    <m:r>
                      <w:rPr>
                        <w:rFonts w:ascii="Cambria Math" w:hAnsi="Cambria Math"/>
                        <w:szCs w:val="21"/>
                      </w:rPr>
                      <m:t>μ</m:t>
                    </m:r>
                    <m:r>
                      <w:rPr>
                        <w:rFonts w:ascii="Cambria Math" w:hAnsi="Cambria Math"/>
                        <w:szCs w:val="21"/>
                      </w:rPr>
                      <m:t>=3</m:t>
                    </m:r>
                  </m:oMath>
                  <w:r>
                    <w:rPr>
                      <w:szCs w:val="21"/>
                    </w:rPr>
                    <w:t xml:space="preserve">, </w:t>
                  </w:r>
                  <m:oMath>
                    <m:r>
                      <w:rPr>
                        <w:rFonts w:ascii="Cambria Math" w:hAnsi="Cambria Math"/>
                        <w:szCs w:val="21"/>
                      </w:rPr>
                      <m:t>N</m:t>
                    </m:r>
                    <m:r>
                      <w:rPr>
                        <w:rFonts w:ascii="Cambria Math" w:hAnsi="Cambria Math"/>
                        <w:szCs w:val="21"/>
                      </w:rPr>
                      <m:t>=16</m:t>
                    </m:r>
                  </m:oMath>
                  <w:r>
                    <w:rPr>
                      <w:szCs w:val="21"/>
                    </w:rPr>
                    <w:t xml:space="preserve"> for </w:t>
                  </w:r>
                  <m:oMath>
                    <m:r>
                      <w:rPr>
                        <w:rFonts w:ascii="Cambria Math" w:hAnsi="Cambria Math"/>
                        <w:szCs w:val="21"/>
                      </w:rPr>
                      <m:t>μ</m:t>
                    </m:r>
                    <m:r>
                      <w:rPr>
                        <w:rFonts w:ascii="Cambria Math" w:hAnsi="Cambria Math"/>
                        <w:szCs w:val="21"/>
                      </w:rPr>
                      <m:t>=5</m:t>
                    </m:r>
                  </m:oMath>
                  <w:r>
                    <w:rPr>
                      <w:szCs w:val="21"/>
                    </w:rPr>
                    <w:t xml:space="preserve">, </w:t>
                  </w:r>
                  <m:oMath>
                    <m:r>
                      <w:rPr>
                        <w:rFonts w:ascii="Cambria Math" w:hAnsi="Cambria Math"/>
                        <w:szCs w:val="21"/>
                      </w:rPr>
                      <m:t>N</m:t>
                    </m:r>
                    <m:r>
                      <w:rPr>
                        <w:rFonts w:ascii="Cambria Math" w:hAnsi="Cambria Math"/>
                        <w:szCs w:val="21"/>
                      </w:rPr>
                      <m:t>=32</m:t>
                    </m:r>
                  </m:oMath>
                  <w:r>
                    <w:rPr>
                      <w:szCs w:val="21"/>
                    </w:rPr>
                    <w:t xml:space="preserve"> for </w:t>
                  </w:r>
                  <m:oMath>
                    <m:r>
                      <w:rPr>
                        <w:rFonts w:ascii="Cambria Math" w:hAnsi="Cambria Math"/>
                        <w:szCs w:val="21"/>
                      </w:rPr>
                      <m:t>μ</m:t>
                    </m:r>
                    <m:r>
                      <w:rPr>
                        <w:rFonts w:ascii="Cambria Math" w:hAnsi="Cambria Math"/>
                        <w:szCs w:val="21"/>
                      </w:rPr>
                      <m:t>=6</m:t>
                    </m:r>
                  </m:oMath>
                  <w:r>
                    <w:rPr>
                      <w:szCs w:val="21"/>
                    </w:rPr>
                    <w:t xml:space="preserve">, and </w:t>
                  </w:r>
                  <m:oMath>
                    <m:r>
                      <w:rPr>
                        <w:rFonts w:ascii="Cambria Math" w:hAnsi="Cambria Math"/>
                        <w:szCs w:val="21"/>
                      </w:rPr>
                      <m:t>μ</m:t>
                    </m:r>
                  </m:oMath>
                  <w:r>
                    <w:rPr>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w:t>
                  </w:r>
                  <w:proofErr w:type="spellStart"/>
                  <w:r>
                    <w:rPr>
                      <w:szCs w:val="21"/>
                    </w:rPr>
                    <w:t>etition</w:t>
                  </w:r>
                  <w:proofErr w:type="spellEnd"/>
                  <w:r>
                    <w:rPr>
                      <w:szCs w:val="21"/>
                    </w:rPr>
                    <w:t xml:space="preserve"> for PUSCH transmission [6, TS 38.214]. </w:t>
                  </w:r>
                  <w:r>
                    <w:rPr>
                      <w:color w:val="FF0000"/>
                      <w:szCs w:val="21"/>
                      <w:u w:val="single"/>
                    </w:rPr>
                    <w:t xml:space="preserve">For a PRACH transmission with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oMath>
                  <w:r>
                    <w:rPr>
                      <w:color w:val="FF0000"/>
                      <w:szCs w:val="21"/>
                      <w:u w:val="single"/>
                    </w:rPr>
                    <w:t xml:space="preserve"> preamble repetitions, this applies to each preamble repetition.</w:t>
                  </w:r>
                </w:p>
                <w:p w:rsidR="00E9498C" w:rsidRDefault="00B22441">
                  <w:pPr>
                    <w:overflowPunct w:val="0"/>
                    <w:autoSpaceDE w:val="0"/>
                    <w:autoSpaceDN w:val="0"/>
                    <w:adjustRightInd w:val="0"/>
                    <w:jc w:val="center"/>
                    <w:textAlignment w:val="baseline"/>
                    <w:rPr>
                      <w:szCs w:val="21"/>
                    </w:rPr>
                  </w:pPr>
                  <w:r>
                    <w:rPr>
                      <w:color w:val="FF0000"/>
                      <w:szCs w:val="21"/>
                    </w:rPr>
                    <w:t>*** Unchanged parts are omitted ***</w:t>
                  </w:r>
                </w:p>
              </w:tc>
            </w:tr>
          </w:tbl>
          <w:p w:rsidR="00E9498C" w:rsidRDefault="00B22441">
            <w:pPr>
              <w:rPr>
                <w:bCs/>
                <w:szCs w:val="21"/>
              </w:rPr>
            </w:pPr>
            <w:r>
              <w:rPr>
                <w:b/>
                <w:bCs/>
                <w:szCs w:val="21"/>
              </w:rPr>
              <w:t>Reasons for changes</w:t>
            </w:r>
            <w:r>
              <w:rPr>
                <w:szCs w:val="21"/>
              </w:rPr>
              <w:t xml:space="preserve">: </w:t>
            </w:r>
            <w:r>
              <w:rPr>
                <w:rFonts w:hint="eastAsia"/>
                <w:szCs w:val="21"/>
              </w:rPr>
              <w:t>Based</w:t>
            </w:r>
            <w:r>
              <w:rPr>
                <w:szCs w:val="21"/>
              </w:rPr>
              <w:t xml:space="preserve"> on the existing agreement, the droppi</w:t>
            </w:r>
            <w:r>
              <w:rPr>
                <w:szCs w:val="21"/>
              </w:rPr>
              <w:t xml:space="preserve">ng rule of single PRACH transmission in existing spec. is reused for multiple PRACH transmissions. </w:t>
            </w:r>
            <w:r>
              <w:rPr>
                <w:bCs/>
                <w:szCs w:val="21"/>
              </w:rPr>
              <w:t>Further clarification is needed in the spec.</w:t>
            </w:r>
          </w:p>
          <w:p w:rsidR="00E9498C" w:rsidRDefault="00B22441">
            <w:pPr>
              <w:overflowPunct w:val="0"/>
              <w:autoSpaceDE w:val="0"/>
              <w:autoSpaceDN w:val="0"/>
              <w:adjustRightInd w:val="0"/>
              <w:textAlignment w:val="baseline"/>
              <w:rPr>
                <w:szCs w:val="21"/>
              </w:rPr>
            </w:pPr>
            <w:r>
              <w:rPr>
                <w:b/>
                <w:bCs/>
                <w:szCs w:val="21"/>
              </w:rPr>
              <w:t>Summary of change</w:t>
            </w:r>
            <w:r>
              <w:rPr>
                <w:rFonts w:hint="eastAsia"/>
                <w:b/>
                <w:bCs/>
                <w:szCs w:val="21"/>
              </w:rPr>
              <w:t>:</w:t>
            </w:r>
            <w:r>
              <w:rPr>
                <w:b/>
                <w:bCs/>
                <w:szCs w:val="21"/>
              </w:rPr>
              <w:t xml:space="preserve"> </w:t>
            </w:r>
            <w:r>
              <w:rPr>
                <w:szCs w:val="21"/>
              </w:rPr>
              <w:t>Dropping rule of single PRACH is extended to multiple PRACH transmissions.</w:t>
            </w:r>
          </w:p>
          <w:p w:rsidR="00E9498C" w:rsidRDefault="00B22441">
            <w:pPr>
              <w:pStyle w:val="Comments"/>
              <w:overflowPunct/>
              <w:autoSpaceDE/>
              <w:autoSpaceDN/>
              <w:adjustRightInd/>
              <w:textAlignment w:val="auto"/>
              <w:rPr>
                <w:i w:val="0"/>
                <w:iCs/>
              </w:rPr>
            </w:pPr>
            <w:r>
              <w:rPr>
                <w:rFonts w:ascii="Times New Roman" w:eastAsia="宋体" w:hAnsi="Times New Roman"/>
                <w:b/>
                <w:bCs/>
                <w:i w:val="0"/>
                <w:sz w:val="20"/>
                <w:szCs w:val="21"/>
                <w:lang w:eastAsia="en-US"/>
              </w:rPr>
              <w:t xml:space="preserve">Consequences if </w:t>
            </w:r>
            <w:r>
              <w:rPr>
                <w:rFonts w:ascii="Times New Roman" w:eastAsia="宋体" w:hAnsi="Times New Roman"/>
                <w:b/>
                <w:bCs/>
                <w:i w:val="0"/>
                <w:sz w:val="20"/>
                <w:szCs w:val="21"/>
                <w:lang w:eastAsia="en-US"/>
              </w:rPr>
              <w:t>not approved:</w:t>
            </w:r>
            <w:r>
              <w:rPr>
                <w:i w:val="0"/>
                <w:szCs w:val="21"/>
              </w:rPr>
              <w:t xml:space="preserve"> </w:t>
            </w:r>
            <w:r>
              <w:rPr>
                <w:rFonts w:ascii="Times New Roman" w:eastAsia="宋体" w:hAnsi="Times New Roman"/>
                <w:i w:val="0"/>
                <w:sz w:val="20"/>
                <w:szCs w:val="21"/>
                <w:lang w:eastAsia="en-US"/>
              </w:rPr>
              <w:t>It may be not clear when applying existing dropping rule of single PRACH transmission to multiple PRACH transmissions.</w:t>
            </w:r>
          </w:p>
        </w:tc>
      </w:tr>
    </w:tbl>
    <w:p w:rsidR="00E9498C" w:rsidRDefault="00B22441">
      <w:pPr>
        <w:spacing w:beforeLines="50" w:before="120"/>
        <w:rPr>
          <w:lang w:val="en-US" w:eastAsia="zh-CN"/>
        </w:rPr>
      </w:pPr>
      <w:r>
        <w:rPr>
          <w:lang w:val="en-US" w:eastAsia="zh-CN"/>
        </w:rPr>
        <w:lastRenderedPageBreak/>
        <w:t>The final editor CR [3] adopted the TP with some modifications as shown below:</w:t>
      </w:r>
    </w:p>
    <w:tbl>
      <w:tblPr>
        <w:tblStyle w:val="afd"/>
        <w:tblW w:w="0" w:type="auto"/>
        <w:jc w:val="center"/>
        <w:tblLook w:val="04A0" w:firstRow="1" w:lastRow="0" w:firstColumn="1" w:lastColumn="0" w:noHBand="0" w:noVBand="1"/>
      </w:tblPr>
      <w:tblGrid>
        <w:gridCol w:w="9629"/>
      </w:tblGrid>
      <w:tr w:rsidR="00E9498C">
        <w:trPr>
          <w:jc w:val="center"/>
        </w:trPr>
        <w:tc>
          <w:tcPr>
            <w:tcW w:w="9629" w:type="dxa"/>
          </w:tcPr>
          <w:p w:rsidR="00E9498C" w:rsidRDefault="00B22441">
            <w:pPr>
              <w:pStyle w:val="2"/>
              <w:numPr>
                <w:ilvl w:val="0"/>
                <w:numId w:val="0"/>
              </w:numPr>
              <w:ind w:left="567" w:hanging="567"/>
              <w:outlineLvl w:val="1"/>
            </w:pPr>
            <w:bookmarkStart w:id="5" w:name="_Toc20311574"/>
            <w:bookmarkStart w:id="6" w:name="_Ref491452917"/>
            <w:bookmarkStart w:id="7" w:name="_Toc29894830"/>
            <w:bookmarkStart w:id="8" w:name="_Toc146214407"/>
            <w:bookmarkStart w:id="9" w:name="_Toc12021462"/>
            <w:bookmarkStart w:id="10" w:name="_Toc26719399"/>
            <w:bookmarkStart w:id="11" w:name="_Toc29899129"/>
            <w:bookmarkStart w:id="12" w:name="_Toc29899547"/>
            <w:bookmarkStart w:id="13" w:name="_Toc29917284"/>
            <w:bookmarkStart w:id="14" w:name="_Toc45699184"/>
            <w:bookmarkStart w:id="15" w:name="_Toc36498158"/>
            <w:r>
              <w:t>8</w:t>
            </w:r>
            <w:r>
              <w:rPr>
                <w:rFonts w:hint="eastAsia"/>
              </w:rPr>
              <w:t>.1</w:t>
            </w:r>
            <w:r>
              <w:rPr>
                <w:rFonts w:hint="eastAsia"/>
              </w:rPr>
              <w:tab/>
            </w:r>
            <w:r>
              <w:t>Random access preamble</w:t>
            </w:r>
            <w:bookmarkEnd w:id="5"/>
            <w:bookmarkEnd w:id="6"/>
            <w:bookmarkEnd w:id="7"/>
            <w:bookmarkEnd w:id="8"/>
            <w:bookmarkEnd w:id="9"/>
            <w:bookmarkEnd w:id="10"/>
            <w:bookmarkEnd w:id="11"/>
            <w:bookmarkEnd w:id="12"/>
            <w:bookmarkEnd w:id="13"/>
            <w:bookmarkEnd w:id="14"/>
            <w:bookmarkEnd w:id="15"/>
          </w:p>
          <w:p w:rsidR="00E9498C" w:rsidRDefault="00B22441">
            <w:pPr>
              <w:spacing w:beforeLines="50"/>
              <w:jc w:val="center"/>
              <w:rPr>
                <w:color w:val="FF0000"/>
                <w:sz w:val="22"/>
                <w:szCs w:val="22"/>
                <w:lang w:eastAsia="zh-CN"/>
              </w:rPr>
            </w:pPr>
            <w:r>
              <w:rPr>
                <w:color w:val="FF0000"/>
                <w:sz w:val="22"/>
                <w:szCs w:val="22"/>
                <w:lang w:eastAsia="zh-CN"/>
              </w:rPr>
              <w:t xml:space="preserve">*** </w:t>
            </w:r>
            <w:r>
              <w:rPr>
                <w:color w:val="FF0000"/>
                <w:sz w:val="22"/>
                <w:szCs w:val="22"/>
              </w:rPr>
              <w:t xml:space="preserve">Unchanged </w:t>
            </w:r>
            <w:r>
              <w:rPr>
                <w:color w:val="FF0000"/>
                <w:sz w:val="22"/>
                <w:szCs w:val="22"/>
              </w:rPr>
              <w:t>parts are omitted</w:t>
            </w:r>
            <w:r>
              <w:rPr>
                <w:color w:val="FF0000"/>
                <w:sz w:val="22"/>
                <w:szCs w:val="22"/>
                <w:lang w:eastAsia="zh-CN"/>
              </w:rPr>
              <w:t xml:space="preserve"> ***</w:t>
            </w:r>
          </w:p>
          <w:p w:rsidR="00E9498C" w:rsidRDefault="00B22441">
            <w:pPr>
              <w:rPr>
                <w:lang w:val="en-US"/>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w:t>
            </w:r>
            <w:r>
              <w:rPr>
                <w:i/>
              </w:rPr>
              <w:t>-simulTx-r17</w:t>
            </w:r>
            <w:r>
              <w:rPr>
                <w:lang w:val="en-US"/>
              </w:rPr>
              <w:t xml:space="preserve">, a UE </w:t>
            </w:r>
          </w:p>
          <w:p w:rsidR="00E9498C" w:rsidRDefault="00B22441">
            <w:pPr>
              <w:pStyle w:val="B1"/>
            </w:pPr>
            <w:r>
              <w:rPr>
                <w:color w:val="FF0000"/>
                <w:u w:val="single"/>
              </w:rPr>
              <w:t>-</w:t>
            </w:r>
            <w:r>
              <w:rPr>
                <w:color w:val="FF0000"/>
                <w:u w:val="single"/>
              </w:rPr>
              <w:tab/>
            </w:r>
            <w:r>
              <w:t xml:space="preserve">does not transmit PRACH and PUSCH/PUCCH/SRS in a same slot with respect to the smallest SCS configuration between the SCS configuration for the UL BWP with the 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PUSCH/PUCCH/SRS tr</w:t>
            </w:r>
            <w:r>
              <w:t>ansmissions,</w:t>
            </w:r>
            <w:r>
              <w:rPr>
                <w:color w:val="FF0000"/>
                <w:u w:val="single"/>
              </w:rPr>
              <w:t xml:space="preserve"> or</w:t>
            </w:r>
            <w:r>
              <w:t xml:space="preserve"> </w:t>
            </w:r>
          </w:p>
          <w:p w:rsidR="00E9498C" w:rsidRDefault="00B22441">
            <w:pPr>
              <w:pStyle w:val="B1"/>
              <w:rPr>
                <w:color w:val="FF0000"/>
                <w:u w:val="single"/>
              </w:rPr>
            </w:pPr>
            <w:r>
              <w:t>-</w:t>
            </w:r>
            <w:r>
              <w:tab/>
            </w:r>
            <w:r>
              <w:rPr>
                <w:color w:val="FF0000"/>
                <w:u w:val="single"/>
              </w:rPr>
              <w:t>does not transmit PRACH and PUSCH/PUCCH/SRS</w:t>
            </w:r>
            <w:r>
              <w:t xml:space="preserve"> when a </w:t>
            </w:r>
            <w:r>
              <w:rPr>
                <w:strike/>
                <w:color w:val="FF0000"/>
              </w:rPr>
              <w:t xml:space="preserve">gap between the </w:t>
            </w:r>
            <w:r>
              <w:t xml:space="preserve">first or last symbol of a PRACH transmission in a first slot is separated by less than </w:t>
            </w:r>
            <m:oMath>
              <m:r>
                <w:rPr>
                  <w:rFonts w:ascii="Cambria Math" w:hAnsi="Cambria Math"/>
                  <w:lang w:eastAsia="zh-CN"/>
                </w:rPr>
                <m:t>N</m:t>
              </m:r>
            </m:oMath>
            <w:r>
              <w:t xml:space="preserve"> symbols from the last or first symbol, respectively, of a PUSCH/PUCCH/SRS transm</w:t>
            </w:r>
            <w:proofErr w:type="spellStart"/>
            <w:r>
              <w:t>ission</w:t>
            </w:r>
            <w:proofErr w:type="spellEnd"/>
            <w:r>
              <w:t xml:space="preserve"> in a second slot</w:t>
            </w:r>
            <w:r>
              <w:rPr>
                <w:color w:val="FF0000"/>
                <w:u w:val="single"/>
              </w:rPr>
              <w:t>,</w:t>
            </w:r>
          </w:p>
          <w:p w:rsidR="00E9498C" w:rsidRDefault="00B22441">
            <w:pPr>
              <w:pStyle w:val="B1"/>
              <w:rPr>
                <w:color w:val="FF0000"/>
                <w:u w:val="single"/>
              </w:rPr>
            </w:pPr>
            <w:r>
              <w:rPr>
                <w:color w:val="FF0000"/>
                <w:u w:val="single"/>
              </w:rPr>
              <w:t>-</w:t>
            </w:r>
            <w:r>
              <w:rPr>
                <w:color w:val="FF0000"/>
                <w:u w:val="single"/>
              </w:rPr>
              <w:tab/>
              <w:t xml:space="preserve">for a PRACH transmission with </w:t>
            </w:r>
            <m:oMath>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preamble</m:t>
                  </m:r>
                </m:sub>
                <m:sup>
                  <m:r>
                    <m:rPr>
                      <m:sty m:val="p"/>
                    </m:rPr>
                    <w:rPr>
                      <w:rFonts w:ascii="Cambria Math" w:hAnsi="Cambria Math"/>
                      <w:color w:val="FF0000"/>
                      <w:u w:val="single"/>
                    </w:rPr>
                    <m:t>rep</m:t>
                  </m:r>
                </m:sup>
              </m:sSubSup>
              <m:r>
                <w:rPr>
                  <w:rFonts w:ascii="Cambria Math" w:hAnsi="Cambria Math"/>
                  <w:color w:val="FF0000"/>
                  <w:u w:val="single"/>
                </w:rPr>
                <m:t>&gt;1</m:t>
              </m:r>
            </m:oMath>
            <w:r>
              <w:rPr>
                <w:color w:val="FF0000"/>
                <w:u w:val="single"/>
              </w:rPr>
              <w:t xml:space="preserve"> preamble repetitions, if the UE does not indicate </w:t>
            </w:r>
            <w:r>
              <w:rPr>
                <w:i/>
                <w:iCs/>
                <w:color w:val="FF0000"/>
                <w:u w:val="single"/>
              </w:rPr>
              <w:t>capability-XYZ</w:t>
            </w:r>
            <w:r>
              <w:rPr>
                <w:color w:val="FF0000"/>
                <w:u w:val="single"/>
              </w:rPr>
              <w:t xml:space="preserve">, </w:t>
            </w:r>
            <w:r>
              <w:rPr>
                <w:color w:val="FF0000"/>
                <w:u w:val="single"/>
                <w:lang w:eastAsia="zh-CN"/>
              </w:rPr>
              <w:t>the UE does</w:t>
            </w:r>
            <w:r>
              <w:rPr>
                <w:rFonts w:hint="eastAsia"/>
                <w:color w:val="FF0000"/>
                <w:u w:val="single"/>
                <w:lang w:eastAsia="zh-CN"/>
              </w:rPr>
              <w:t xml:space="preserve"> </w:t>
            </w:r>
            <w:r>
              <w:rPr>
                <w:color w:val="FF0000"/>
                <w:u w:val="single"/>
              </w:rPr>
              <w:t>not transmit a first repetition of the PRACH and a second repetition of the PRACH when a first or last sy</w:t>
            </w:r>
            <w:r>
              <w:rPr>
                <w:color w:val="FF0000"/>
                <w:u w:val="single"/>
              </w:rPr>
              <w:t xml:space="preserve">mbol of the first repetition of the PRACH in a first slot is separated by less than </w:t>
            </w:r>
            <m:oMath>
              <m:r>
                <w:rPr>
                  <w:rFonts w:ascii="Cambria Math" w:hAnsi="Cambria Math"/>
                  <w:color w:val="FF0000"/>
                  <w:u w:val="single"/>
                  <w:lang w:eastAsia="zh-CN"/>
                </w:rPr>
                <m:t>N</m:t>
              </m:r>
            </m:oMath>
            <w:r>
              <w:rPr>
                <w:color w:val="FF0000"/>
                <w:u w:val="single"/>
              </w:rPr>
              <w:t xml:space="preserve"> symbols from the last or first symbol, respectively, of the second  repetition of the PRACH in a second slot; otherwise, the UE transmits the first repetition of the PRA</w:t>
            </w:r>
            <w:r>
              <w:rPr>
                <w:color w:val="FF0000"/>
                <w:u w:val="single"/>
              </w:rPr>
              <w:t>CH and the second repetition of the PRACH</w:t>
            </w:r>
          </w:p>
          <w:p w:rsidR="00E9498C" w:rsidRDefault="00B22441">
            <w:pPr>
              <w:pStyle w:val="B1"/>
              <w:ind w:left="0"/>
            </w:pPr>
            <w:r>
              <w:t xml:space="preserve">where </w:t>
            </w:r>
            <m:oMath>
              <m:r>
                <w:rPr>
                  <w:rFonts w:ascii="Cambria Math" w:hAnsi="Cambria Math"/>
                  <w:lang w:eastAsia="zh-CN"/>
                </w:rPr>
                <m:t>N</m:t>
              </m:r>
              <m:r>
                <w:rPr>
                  <w:rFonts w:ascii="Cambria Math" w:hAnsi="Cambria Math"/>
                  <w:lang w:eastAsia="zh-CN"/>
                </w:rPr>
                <m:t>=2</m:t>
              </m:r>
            </m:oMath>
            <w:r>
              <w:t xml:space="preserve"> for </w:t>
            </w:r>
            <m:oMath>
              <m:r>
                <w:rPr>
                  <w:rFonts w:ascii="Cambria Math" w:hAnsi="Cambria Math"/>
                  <w:lang w:eastAsia="zh-CN"/>
                </w:rPr>
                <m:t>μ</m:t>
              </m:r>
              <m:r>
                <w:rPr>
                  <w:rFonts w:ascii="Cambria Math" w:hAnsi="Cambria Math"/>
                  <w:lang w:eastAsia="zh-CN"/>
                </w:rPr>
                <m:t>=0</m:t>
              </m:r>
            </m:oMath>
            <w:r>
              <w:t xml:space="preserve"> or </w:t>
            </w:r>
            <m:oMath>
              <m:r>
                <w:rPr>
                  <w:rFonts w:ascii="Cambria Math" w:hAnsi="Cambria Math"/>
                  <w:lang w:eastAsia="zh-CN"/>
                </w:rPr>
                <m:t>μ</m:t>
              </m:r>
              <m:r>
                <w:rPr>
                  <w:rFonts w:ascii="Cambria Math" w:hAnsi="Cambria Math"/>
                  <w:lang w:eastAsia="zh-CN"/>
                </w:rPr>
                <m:t>=</m:t>
              </m:r>
            </m:oMath>
            <w:r>
              <w:rPr>
                <w:lang w:eastAsia="zh-CN"/>
              </w:rPr>
              <w:t>1</w:t>
            </w:r>
            <w:r>
              <w:t xml:space="preserve">, </w:t>
            </w:r>
            <m:oMath>
              <m:r>
                <w:rPr>
                  <w:rFonts w:ascii="Cambria Math" w:hAnsi="Cambria Math"/>
                  <w:lang w:eastAsia="zh-CN"/>
                </w:rPr>
                <m:t>N</m:t>
              </m:r>
              <m:r>
                <w:rPr>
                  <w:rFonts w:ascii="Cambria Math" w:hAnsi="Cambria Math"/>
                  <w:lang w:eastAsia="zh-CN"/>
                </w:rPr>
                <m:t>=4</m:t>
              </m:r>
            </m:oMath>
            <w:r>
              <w:t xml:space="preserve"> for </w:t>
            </w:r>
            <m:oMath>
              <m:r>
                <w:rPr>
                  <w:rFonts w:ascii="Cambria Math" w:hAnsi="Cambria Math"/>
                  <w:lang w:eastAsia="zh-CN"/>
                </w:rPr>
                <m:t>μ</m:t>
              </m:r>
              <m:r>
                <w:rPr>
                  <w:rFonts w:ascii="Cambria Math" w:hAnsi="Cambria Math"/>
                  <w:lang w:eastAsia="zh-CN"/>
                </w:rPr>
                <m:t>=2</m:t>
              </m:r>
            </m:oMath>
            <w:r>
              <w:t xml:space="preserve"> or </w:t>
            </w:r>
            <m:oMath>
              <m:r>
                <w:rPr>
                  <w:rFonts w:ascii="Cambria Math" w:hAnsi="Cambria Math"/>
                  <w:lang w:eastAsia="zh-CN"/>
                </w:rPr>
                <m:t>μ</m:t>
              </m:r>
              <m:r>
                <w:rPr>
                  <w:rFonts w:ascii="Cambria Math" w:hAnsi="Cambria Math"/>
                  <w:lang w:eastAsia="zh-CN"/>
                </w:rPr>
                <m:t>=3</m:t>
              </m:r>
            </m:oMath>
            <w:r>
              <w:t xml:space="preserve">, </w:t>
            </w:r>
            <m:oMath>
              <m:r>
                <w:rPr>
                  <w:rFonts w:ascii="Cambria Math" w:hAnsi="Cambria Math"/>
                  <w:lang w:eastAsia="zh-CN"/>
                </w:rPr>
                <m:t>N</m:t>
              </m:r>
              <m:r>
                <w:rPr>
                  <w:rFonts w:ascii="Cambria Math" w:hAnsi="Cambria Math"/>
                  <w:lang w:eastAsia="zh-CN"/>
                </w:rPr>
                <m:t>=16</m:t>
              </m:r>
            </m:oMath>
            <w:r>
              <w:t xml:space="preserve"> for </w:t>
            </w:r>
            <m:oMath>
              <m:r>
                <w:rPr>
                  <w:rFonts w:ascii="Cambria Math" w:hAnsi="Cambria Math"/>
                  <w:lang w:eastAsia="zh-CN"/>
                </w:rPr>
                <m:t>μ</m:t>
              </m:r>
              <m:r>
                <w:rPr>
                  <w:rFonts w:ascii="Cambria Math" w:hAnsi="Cambria Math"/>
                  <w:lang w:eastAsia="zh-CN"/>
                </w:rPr>
                <m:t>=5</m:t>
              </m:r>
            </m:oMath>
            <w:r>
              <w:rPr>
                <w:lang w:eastAsia="zh-CN"/>
              </w:rPr>
              <w:t xml:space="preserve">, </w:t>
            </w:r>
            <m:oMath>
              <m:r>
                <w:rPr>
                  <w:rFonts w:ascii="Cambria Math" w:hAnsi="Cambria Math"/>
                  <w:lang w:eastAsia="zh-CN"/>
                </w:rPr>
                <m:t>N</m:t>
              </m:r>
              <m:r>
                <w:rPr>
                  <w:rFonts w:ascii="Cambria Math" w:hAnsi="Cambria Math"/>
                  <w:lang w:eastAsia="zh-CN"/>
                </w:rPr>
                <m:t>=32</m:t>
              </m:r>
            </m:oMath>
            <w:r>
              <w:t xml:space="preserve"> for </w:t>
            </w:r>
            <m:oMath>
              <m:r>
                <w:rPr>
                  <w:rFonts w:ascii="Cambria Math" w:hAnsi="Cambria Math"/>
                  <w:lang w:eastAsia="zh-CN"/>
                </w:rPr>
                <m:t>μ</m:t>
              </m:r>
              <m:r>
                <w:rPr>
                  <w:rFonts w:ascii="Cambria Math" w:hAnsi="Cambria Math"/>
                  <w:lang w:eastAsia="zh-CN"/>
                </w:rPr>
                <m:t>=6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eastAsia="zh-CN"/>
              </w:rPr>
              <w:t xml:space="preserve"> applies to each actual rep</w:t>
            </w:r>
            <w:r>
              <w:rPr>
                <w:lang w:eastAsia="zh-CN"/>
              </w:rPr>
              <w:t>etition for PUSCH transmission [6, TS 38.214].</w:t>
            </w:r>
          </w:p>
          <w:p w:rsidR="00E9498C" w:rsidRDefault="00B22441">
            <w:pPr>
              <w:spacing w:beforeLines="50"/>
              <w:jc w:val="center"/>
              <w:rPr>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E9498C" w:rsidRDefault="00B22441">
      <w:pPr>
        <w:spacing w:beforeLines="50" w:before="120"/>
        <w:rPr>
          <w:lang w:val="en-US" w:eastAsia="zh-CN"/>
        </w:rPr>
      </w:pPr>
      <w:r>
        <w:rPr>
          <w:rFonts w:hint="eastAsia"/>
          <w:lang w:val="en-US" w:eastAsia="zh-CN"/>
        </w:rPr>
        <w:t>I</w:t>
      </w:r>
      <w:r>
        <w:rPr>
          <w:lang w:val="en-US" w:eastAsia="zh-CN"/>
        </w:rPr>
        <w:t xml:space="preserve">t means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&gt;1 </m:t>
        </m:r>
      </m:oMath>
      <w:r>
        <w:rPr>
          <w:lang w:val="en-US" w:eastAsia="zh-CN"/>
        </w:rPr>
        <w:t>preamble repetitions, a UE should indicate to network whether the UE can support the capability that the UE can transmit both a first repetition of the PRACH and a second repetition of the PRACH when a first or last symbol of the first repetition of the PR</w:t>
      </w:r>
      <w:r>
        <w:rPr>
          <w:lang w:val="en-US" w:eastAsia="zh-CN"/>
        </w:rPr>
        <w:t xml:space="preserve">ACH in a first slot is separated by less than </w:t>
      </w:r>
      <w:r>
        <w:rPr>
          <w:i/>
          <w:lang w:val="en-US" w:eastAsia="zh-CN"/>
        </w:rPr>
        <w:t>N</w:t>
      </w:r>
      <w:r>
        <w:rPr>
          <w:lang w:val="en-US" w:eastAsia="zh-CN"/>
        </w:rPr>
        <w:t xml:space="preserve"> symbols from the last or first symbol, respectively, of the second repetition of the PRACH in a second slot. That is, the UE follows the legacy behavior and no new dropping rule is introduced. </w:t>
      </w:r>
    </w:p>
    <w:p w:rsidR="00E9498C" w:rsidRDefault="00B22441">
      <w:pPr>
        <w:spacing w:beforeLines="50" w:before="120"/>
        <w:rPr>
          <w:lang w:val="en-US" w:eastAsia="zh-CN"/>
        </w:rPr>
      </w:pPr>
      <w:r>
        <w:rPr>
          <w:lang w:val="en-US" w:eastAsia="zh-CN"/>
        </w:rPr>
        <w:t>If the capabil</w:t>
      </w:r>
      <w:r>
        <w:rPr>
          <w:lang w:val="en-US" w:eastAsia="zh-CN"/>
        </w:rPr>
        <w:t>ity is not supported or network doesn’t know whether the capability is supported, network will assume UE would drop any one of the PRACH repetitions between the first repetition of the PRACH and the second repetition of the PRACH. This is a new dropping ru</w:t>
      </w:r>
      <w:r>
        <w:rPr>
          <w:lang w:val="en-US" w:eastAsia="zh-CN"/>
        </w:rPr>
        <w:t xml:space="preserve">le for multiple PRACH transmissions when the additional new UE capability is not introduced. </w:t>
      </w:r>
    </w:p>
    <w:p w:rsidR="00E9498C" w:rsidRDefault="00B22441">
      <w:pPr>
        <w:spacing w:beforeLines="50" w:before="120"/>
        <w:rPr>
          <w:bCs/>
          <w:i/>
        </w:rPr>
      </w:pPr>
      <w:r>
        <w:rPr>
          <w:rFonts w:hint="eastAsia"/>
          <w:b/>
          <w:i/>
        </w:rPr>
        <w:t>P</w:t>
      </w:r>
      <w:r>
        <w:rPr>
          <w:b/>
          <w:i/>
        </w:rPr>
        <w:t>roposal 3</w:t>
      </w:r>
      <w:r>
        <w:rPr>
          <w:bCs/>
          <w:i/>
        </w:rPr>
        <w:t>:</w:t>
      </w:r>
      <w:r>
        <w:rPr>
          <w:rFonts w:hint="eastAsia"/>
        </w:rPr>
        <w:t xml:space="preserve"> </w:t>
      </w:r>
      <w:r>
        <w:rPr>
          <w:bCs/>
          <w:i/>
        </w:rPr>
        <w:t>Introduce a new FG for PRACH dropping.</w:t>
      </w:r>
    </w:p>
    <w:tbl>
      <w:tblPr>
        <w:tblpPr w:leftFromText="180" w:rightFromText="180" w:vertAnchor="text" w:horzAnchor="margin"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431"/>
        <w:gridCol w:w="755"/>
        <w:gridCol w:w="908"/>
        <w:gridCol w:w="501"/>
        <w:gridCol w:w="617"/>
        <w:gridCol w:w="631"/>
        <w:gridCol w:w="945"/>
        <w:gridCol w:w="708"/>
        <w:gridCol w:w="709"/>
        <w:gridCol w:w="558"/>
        <w:gridCol w:w="745"/>
        <w:gridCol w:w="399"/>
        <w:gridCol w:w="986"/>
      </w:tblGrid>
      <w:tr w:rsidR="00E9498C">
        <w:trPr>
          <w:trHeight w:val="20"/>
        </w:trPr>
        <w:tc>
          <w:tcPr>
            <w:tcW w:w="736"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Features</w:t>
            </w:r>
          </w:p>
        </w:tc>
        <w:tc>
          <w:tcPr>
            <w:tcW w:w="431"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Index</w:t>
            </w:r>
          </w:p>
        </w:tc>
        <w:tc>
          <w:tcPr>
            <w:tcW w:w="755"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Feature group</w:t>
            </w:r>
          </w:p>
        </w:tc>
        <w:tc>
          <w:tcPr>
            <w:tcW w:w="908"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Components</w:t>
            </w:r>
          </w:p>
        </w:tc>
        <w:tc>
          <w:tcPr>
            <w:tcW w:w="501"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Prerequisite feature groups</w:t>
            </w:r>
          </w:p>
        </w:tc>
        <w:tc>
          <w:tcPr>
            <w:tcW w:w="617"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 xml:space="preserve">Need for the </w:t>
            </w:r>
            <w:proofErr w:type="spellStart"/>
            <w:r>
              <w:rPr>
                <w:rFonts w:cs="Arial"/>
                <w:color w:val="000000" w:themeColor="text1"/>
                <w:sz w:val="11"/>
                <w:szCs w:val="16"/>
              </w:rPr>
              <w:t>gNB</w:t>
            </w:r>
            <w:proofErr w:type="spellEnd"/>
            <w:r>
              <w:rPr>
                <w:rFonts w:cs="Arial"/>
                <w:color w:val="000000" w:themeColor="text1"/>
                <w:sz w:val="11"/>
                <w:szCs w:val="16"/>
              </w:rPr>
              <w:t xml:space="preserve"> to know if the feature is </w:t>
            </w:r>
            <w:r>
              <w:rPr>
                <w:rFonts w:cs="Arial"/>
                <w:color w:val="000000" w:themeColor="text1"/>
                <w:sz w:val="11"/>
                <w:szCs w:val="16"/>
              </w:rPr>
              <w:t>supported</w:t>
            </w:r>
          </w:p>
        </w:tc>
        <w:tc>
          <w:tcPr>
            <w:tcW w:w="631" w:type="dxa"/>
            <w:shd w:val="clear" w:color="auto" w:fill="auto"/>
          </w:tcPr>
          <w:p w:rsidR="00E9498C" w:rsidRDefault="00B22441">
            <w:pPr>
              <w:pStyle w:val="TAH"/>
              <w:rPr>
                <w:rFonts w:cs="Arial"/>
                <w:color w:val="000000" w:themeColor="text1"/>
                <w:sz w:val="11"/>
                <w:szCs w:val="16"/>
              </w:rPr>
            </w:pPr>
            <w:r>
              <w:rPr>
                <w:rFonts w:eastAsia="Gulim" w:cs="Arial"/>
                <w:color w:val="000000" w:themeColor="text1"/>
                <w:sz w:val="11"/>
                <w:szCs w:val="16"/>
              </w:rPr>
              <w:t xml:space="preserve">Applicable to </w:t>
            </w:r>
            <w:r>
              <w:rPr>
                <w:rFonts w:cs="Arial"/>
                <w:color w:val="000000" w:themeColor="text1"/>
                <w:sz w:val="11"/>
                <w:szCs w:val="16"/>
              </w:rPr>
              <w:t xml:space="preserve">the capability </w:t>
            </w:r>
            <w:proofErr w:type="spellStart"/>
            <w:r>
              <w:rPr>
                <w:rFonts w:cs="Arial"/>
                <w:color w:val="000000" w:themeColor="text1"/>
                <w:sz w:val="11"/>
                <w:szCs w:val="16"/>
              </w:rPr>
              <w:t>signalling</w:t>
            </w:r>
            <w:proofErr w:type="spellEnd"/>
            <w:r>
              <w:rPr>
                <w:rFonts w:cs="Arial"/>
                <w:color w:val="000000" w:themeColor="text1"/>
                <w:sz w:val="11"/>
                <w:szCs w:val="16"/>
              </w:rPr>
              <w:t xml:space="preserve"> exchange between UEs (</w:t>
            </w:r>
            <w:proofErr w:type="spellStart"/>
            <w:r>
              <w:rPr>
                <w:rFonts w:cs="Arial"/>
                <w:color w:val="000000" w:themeColor="text1"/>
                <w:sz w:val="11"/>
                <w:szCs w:val="16"/>
              </w:rPr>
              <w:t>Sidelink</w:t>
            </w:r>
            <w:proofErr w:type="spellEnd"/>
            <w:r>
              <w:rPr>
                <w:rFonts w:cs="Arial"/>
                <w:color w:val="000000" w:themeColor="text1"/>
                <w:sz w:val="11"/>
                <w:szCs w:val="16"/>
              </w:rPr>
              <w:t xml:space="preserve"> WI only)”.</w:t>
            </w:r>
          </w:p>
        </w:tc>
        <w:tc>
          <w:tcPr>
            <w:tcW w:w="945" w:type="dxa"/>
            <w:shd w:val="clear" w:color="auto" w:fill="auto"/>
          </w:tcPr>
          <w:p w:rsidR="00E9498C" w:rsidRDefault="00B22441">
            <w:pPr>
              <w:pStyle w:val="TAN"/>
              <w:ind w:left="0" w:firstLine="0"/>
              <w:rPr>
                <w:rFonts w:cs="Arial"/>
                <w:b/>
                <w:color w:val="000000" w:themeColor="text1"/>
                <w:sz w:val="11"/>
                <w:szCs w:val="16"/>
                <w:lang w:eastAsia="ja-JP"/>
              </w:rPr>
            </w:pPr>
            <w:r>
              <w:rPr>
                <w:rFonts w:cs="Arial"/>
                <w:b/>
                <w:color w:val="000000" w:themeColor="text1"/>
                <w:sz w:val="11"/>
                <w:szCs w:val="16"/>
                <w:lang w:eastAsia="ja-JP"/>
              </w:rPr>
              <w:t>Consequence if the feature is not supported by the UE</w:t>
            </w:r>
          </w:p>
        </w:tc>
        <w:tc>
          <w:tcPr>
            <w:tcW w:w="708" w:type="dxa"/>
            <w:shd w:val="clear" w:color="auto" w:fill="auto"/>
          </w:tcPr>
          <w:p w:rsidR="00E9498C" w:rsidRDefault="00B22441">
            <w:pPr>
              <w:pStyle w:val="TAN"/>
              <w:ind w:left="0" w:firstLine="0"/>
              <w:rPr>
                <w:rFonts w:cs="Arial"/>
                <w:b/>
                <w:color w:val="000000" w:themeColor="text1"/>
                <w:sz w:val="11"/>
                <w:szCs w:val="16"/>
                <w:lang w:eastAsia="ja-JP"/>
              </w:rPr>
            </w:pPr>
            <w:r>
              <w:rPr>
                <w:rFonts w:cs="Arial"/>
                <w:b/>
                <w:color w:val="000000" w:themeColor="text1"/>
                <w:sz w:val="11"/>
                <w:szCs w:val="16"/>
                <w:lang w:eastAsia="ja-JP"/>
              </w:rPr>
              <w:t>Type</w:t>
            </w:r>
          </w:p>
          <w:p w:rsidR="00E9498C" w:rsidRDefault="00B22441">
            <w:pPr>
              <w:pStyle w:val="TAN"/>
              <w:ind w:left="0" w:firstLine="0"/>
              <w:rPr>
                <w:rFonts w:cs="Arial"/>
                <w:b/>
                <w:color w:val="000000" w:themeColor="text1"/>
                <w:sz w:val="11"/>
                <w:szCs w:val="16"/>
                <w:lang w:eastAsia="ja-JP"/>
              </w:rPr>
            </w:pPr>
            <w:r>
              <w:rPr>
                <w:rFonts w:cs="Arial"/>
                <w:b/>
                <w:color w:val="000000" w:themeColor="text1"/>
                <w:sz w:val="11"/>
                <w:szCs w:val="16"/>
                <w:lang w:eastAsia="ja-JP"/>
              </w:rPr>
              <w:t>(the ‘type’ definition from UE features should be based on the granularity of 1) Per UE or 2) Per Band or</w:t>
            </w:r>
            <w:r>
              <w:rPr>
                <w:rFonts w:cs="Arial"/>
                <w:b/>
                <w:color w:val="000000" w:themeColor="text1"/>
                <w:sz w:val="11"/>
                <w:szCs w:val="16"/>
                <w:lang w:eastAsia="ja-JP"/>
              </w:rPr>
              <w:t xml:space="preserve"> 3) Per BC or 4) Per FS or 5) Per FSPC)</w:t>
            </w:r>
          </w:p>
        </w:tc>
        <w:tc>
          <w:tcPr>
            <w:tcW w:w="709"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Need of FDD/TDD differentiation</w:t>
            </w:r>
          </w:p>
        </w:tc>
        <w:tc>
          <w:tcPr>
            <w:tcW w:w="558"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Need of FR1/FR2 differentiation</w:t>
            </w:r>
          </w:p>
        </w:tc>
        <w:tc>
          <w:tcPr>
            <w:tcW w:w="745"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Capability interpretation for mixture of FDD/TDD and/or FR1/FR2</w:t>
            </w:r>
          </w:p>
        </w:tc>
        <w:tc>
          <w:tcPr>
            <w:tcW w:w="399"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Note</w:t>
            </w:r>
          </w:p>
        </w:tc>
        <w:tc>
          <w:tcPr>
            <w:tcW w:w="986" w:type="dxa"/>
            <w:shd w:val="clear" w:color="auto" w:fill="auto"/>
          </w:tcPr>
          <w:p w:rsidR="00E9498C" w:rsidRDefault="00B22441">
            <w:pPr>
              <w:pStyle w:val="TAH"/>
              <w:rPr>
                <w:rFonts w:cs="Arial"/>
                <w:color w:val="000000" w:themeColor="text1"/>
                <w:sz w:val="11"/>
                <w:szCs w:val="16"/>
              </w:rPr>
            </w:pPr>
            <w:r>
              <w:rPr>
                <w:rFonts w:cs="Arial"/>
                <w:color w:val="000000" w:themeColor="text1"/>
                <w:sz w:val="11"/>
                <w:szCs w:val="16"/>
              </w:rPr>
              <w:t>Mandatory/Optional</w:t>
            </w:r>
          </w:p>
        </w:tc>
      </w:tr>
      <w:tr w:rsidR="00E9498C">
        <w:trPr>
          <w:trHeight w:val="20"/>
        </w:trPr>
        <w:tc>
          <w:tcPr>
            <w:tcW w:w="736" w:type="dxa"/>
            <w:shd w:val="clear" w:color="auto" w:fill="auto"/>
          </w:tcPr>
          <w:p w:rsidR="00E9498C" w:rsidRDefault="00B22441">
            <w:pPr>
              <w:pStyle w:val="TAL"/>
              <w:rPr>
                <w:rFonts w:cs="Arial"/>
                <w:sz w:val="11"/>
                <w:szCs w:val="10"/>
                <w:lang w:eastAsia="ja-JP"/>
              </w:rPr>
            </w:pPr>
            <w:r>
              <w:rPr>
                <w:rFonts w:cs="Arial"/>
                <w:sz w:val="11"/>
                <w:szCs w:val="10"/>
                <w:lang w:eastAsia="ja-JP"/>
              </w:rPr>
              <w:t>54. NR_cov_enh2</w:t>
            </w:r>
          </w:p>
        </w:tc>
        <w:tc>
          <w:tcPr>
            <w:tcW w:w="431" w:type="dxa"/>
            <w:shd w:val="clear" w:color="auto" w:fill="auto"/>
          </w:tcPr>
          <w:p w:rsidR="00E9498C" w:rsidRDefault="00B22441">
            <w:pPr>
              <w:pStyle w:val="TAL"/>
              <w:rPr>
                <w:rFonts w:eastAsia="MS Mincho" w:cs="Arial"/>
                <w:sz w:val="11"/>
                <w:szCs w:val="10"/>
                <w:lang w:eastAsia="ja-JP"/>
              </w:rPr>
            </w:pPr>
            <w:r>
              <w:rPr>
                <w:rFonts w:eastAsia="MS Mincho" w:cs="Arial"/>
                <w:sz w:val="11"/>
                <w:szCs w:val="10"/>
                <w:lang w:eastAsia="ja-JP"/>
              </w:rPr>
              <w:t>54-1a</w:t>
            </w:r>
          </w:p>
        </w:tc>
        <w:tc>
          <w:tcPr>
            <w:tcW w:w="755" w:type="dxa"/>
            <w:shd w:val="clear" w:color="auto" w:fill="auto"/>
          </w:tcPr>
          <w:p w:rsidR="00E9498C" w:rsidRDefault="00B22441">
            <w:pPr>
              <w:pStyle w:val="TAL"/>
              <w:rPr>
                <w:rFonts w:cs="Arial"/>
                <w:sz w:val="11"/>
                <w:szCs w:val="10"/>
                <w:lang w:eastAsia="zh-CN"/>
              </w:rPr>
            </w:pPr>
            <w:r>
              <w:rPr>
                <w:rFonts w:cs="Arial"/>
                <w:sz w:val="11"/>
                <w:szCs w:val="10"/>
                <w:lang w:eastAsia="zh-CN"/>
              </w:rPr>
              <w:t>PRACH coverage enhancements</w:t>
            </w:r>
          </w:p>
        </w:tc>
        <w:tc>
          <w:tcPr>
            <w:tcW w:w="908" w:type="dxa"/>
            <w:shd w:val="clear" w:color="auto" w:fill="auto"/>
          </w:tcPr>
          <w:p w:rsidR="00E9498C" w:rsidRDefault="00B22441">
            <w:pPr>
              <w:rPr>
                <w:rFonts w:ascii="Arial" w:eastAsiaTheme="minorEastAsia" w:hAnsi="Arial" w:cs="Arial"/>
                <w:sz w:val="11"/>
                <w:szCs w:val="10"/>
                <w:lang w:eastAsia="zh-CN"/>
              </w:rPr>
            </w:pPr>
            <w:r>
              <w:rPr>
                <w:rFonts w:ascii="Arial" w:eastAsia="MS Mincho" w:hAnsi="Arial" w:cs="Arial"/>
                <w:sz w:val="11"/>
                <w:szCs w:val="10"/>
                <w:lang w:eastAsia="zh-CN"/>
              </w:rPr>
              <w:t xml:space="preserve">Support of transmitting a first repetition of the PRACH and a second repetition of the PRACH when a first or last symbol of the first repetition of the PRACH in a first slot is </w:t>
            </w:r>
            <w:r>
              <w:rPr>
                <w:rFonts w:ascii="Arial" w:eastAsia="MS Mincho" w:hAnsi="Arial" w:cs="Arial"/>
                <w:sz w:val="11"/>
                <w:szCs w:val="10"/>
                <w:lang w:eastAsia="zh-CN"/>
              </w:rPr>
              <w:lastRenderedPageBreak/>
              <w:t xml:space="preserve">separated by less than </w:t>
            </w:r>
            <w:r>
              <w:rPr>
                <w:rFonts w:ascii="Arial" w:eastAsia="MS Mincho" w:hAnsi="Arial" w:cs="Arial"/>
                <w:i/>
                <w:sz w:val="11"/>
                <w:szCs w:val="10"/>
                <w:lang w:eastAsia="zh-CN"/>
              </w:rPr>
              <w:t>N</w:t>
            </w:r>
            <w:r>
              <w:rPr>
                <w:rFonts w:ascii="Arial" w:eastAsia="MS Mincho" w:hAnsi="Arial" w:cs="Arial"/>
                <w:sz w:val="11"/>
                <w:szCs w:val="10"/>
                <w:lang w:eastAsia="zh-CN"/>
              </w:rPr>
              <w:t xml:space="preserve"> symbols from the last or first symbol, respectively, o</w:t>
            </w:r>
            <w:r>
              <w:rPr>
                <w:rFonts w:ascii="Arial" w:eastAsia="MS Mincho" w:hAnsi="Arial" w:cs="Arial"/>
                <w:sz w:val="11"/>
                <w:szCs w:val="10"/>
                <w:lang w:eastAsia="zh-CN"/>
              </w:rPr>
              <w:t>f the second repetition of the PRACH in a second slot.</w:t>
            </w:r>
          </w:p>
        </w:tc>
        <w:tc>
          <w:tcPr>
            <w:tcW w:w="501" w:type="dxa"/>
            <w:shd w:val="clear" w:color="auto" w:fill="auto"/>
          </w:tcPr>
          <w:p w:rsidR="00E9498C" w:rsidRDefault="00B22441">
            <w:pPr>
              <w:pStyle w:val="TAL"/>
              <w:rPr>
                <w:rFonts w:eastAsiaTheme="minorEastAsia" w:cs="Arial"/>
                <w:sz w:val="11"/>
                <w:szCs w:val="10"/>
                <w:lang w:eastAsia="zh-CN"/>
              </w:rPr>
            </w:pPr>
            <w:r>
              <w:rPr>
                <w:rFonts w:eastAsiaTheme="minorEastAsia" w:cs="Arial" w:hint="eastAsia"/>
                <w:sz w:val="11"/>
                <w:szCs w:val="10"/>
                <w:lang w:eastAsia="zh-CN"/>
              </w:rPr>
              <w:lastRenderedPageBreak/>
              <w:t>5</w:t>
            </w:r>
            <w:r>
              <w:rPr>
                <w:rFonts w:eastAsiaTheme="minorEastAsia" w:cs="Arial"/>
                <w:sz w:val="11"/>
                <w:szCs w:val="10"/>
                <w:lang w:eastAsia="zh-CN"/>
              </w:rPr>
              <w:t>4-1</w:t>
            </w:r>
          </w:p>
        </w:tc>
        <w:tc>
          <w:tcPr>
            <w:tcW w:w="617" w:type="dxa"/>
            <w:shd w:val="clear" w:color="auto" w:fill="auto"/>
          </w:tcPr>
          <w:p w:rsidR="00E9498C" w:rsidRDefault="00B22441">
            <w:pPr>
              <w:pStyle w:val="TAL"/>
              <w:rPr>
                <w:rFonts w:cs="Arial"/>
                <w:sz w:val="11"/>
                <w:szCs w:val="10"/>
                <w:lang w:eastAsia="zh-CN"/>
              </w:rPr>
            </w:pPr>
            <w:r>
              <w:rPr>
                <w:rFonts w:cs="Arial"/>
                <w:sz w:val="11"/>
                <w:szCs w:val="10"/>
                <w:lang w:eastAsia="zh-CN"/>
              </w:rPr>
              <w:t>Yes</w:t>
            </w:r>
          </w:p>
        </w:tc>
        <w:tc>
          <w:tcPr>
            <w:tcW w:w="631" w:type="dxa"/>
            <w:shd w:val="clear" w:color="auto" w:fill="auto"/>
          </w:tcPr>
          <w:p w:rsidR="00E9498C" w:rsidRDefault="00E9498C">
            <w:pPr>
              <w:pStyle w:val="TAL"/>
              <w:rPr>
                <w:rFonts w:cs="Arial"/>
                <w:sz w:val="11"/>
                <w:szCs w:val="10"/>
                <w:lang w:eastAsia="ja-JP"/>
              </w:rPr>
            </w:pPr>
          </w:p>
        </w:tc>
        <w:tc>
          <w:tcPr>
            <w:tcW w:w="945" w:type="dxa"/>
            <w:shd w:val="clear" w:color="auto" w:fill="auto"/>
          </w:tcPr>
          <w:p w:rsidR="00E9498C" w:rsidRDefault="00B22441">
            <w:pPr>
              <w:pStyle w:val="TAL"/>
              <w:rPr>
                <w:rFonts w:cs="Arial"/>
                <w:sz w:val="11"/>
                <w:szCs w:val="10"/>
                <w:lang w:eastAsia="zh-CN"/>
              </w:rPr>
            </w:pPr>
            <w:r>
              <w:rPr>
                <w:rFonts w:eastAsia="MS Mincho" w:cs="Arial"/>
                <w:sz w:val="11"/>
                <w:szCs w:val="10"/>
                <w:lang w:eastAsia="zh-CN"/>
              </w:rPr>
              <w:t xml:space="preserve">UE doesn’t support transmitting a first repetition of the PRACH and a second repetition of the PRACH when a first or last symbol of the first repetition of </w:t>
            </w:r>
            <w:r>
              <w:rPr>
                <w:rFonts w:eastAsia="MS Mincho" w:cs="Arial"/>
                <w:sz w:val="11"/>
                <w:szCs w:val="10"/>
                <w:lang w:eastAsia="zh-CN"/>
              </w:rPr>
              <w:lastRenderedPageBreak/>
              <w:t>the PRACH in a first slot is separa</w:t>
            </w:r>
            <w:r>
              <w:rPr>
                <w:rFonts w:eastAsia="MS Mincho" w:cs="Arial"/>
                <w:sz w:val="11"/>
                <w:szCs w:val="10"/>
                <w:lang w:eastAsia="zh-CN"/>
              </w:rPr>
              <w:t xml:space="preserve">ted by less than </w:t>
            </w:r>
            <w:r>
              <w:rPr>
                <w:rFonts w:eastAsia="MS Mincho" w:cs="Arial"/>
                <w:i/>
                <w:sz w:val="11"/>
                <w:szCs w:val="10"/>
                <w:lang w:eastAsia="zh-CN"/>
              </w:rPr>
              <w:t>N</w:t>
            </w:r>
            <w:r>
              <w:rPr>
                <w:rFonts w:eastAsia="MS Mincho" w:cs="Arial"/>
                <w:sz w:val="11"/>
                <w:szCs w:val="10"/>
                <w:lang w:eastAsia="zh-CN"/>
              </w:rPr>
              <w:t xml:space="preserve"> symbols from the last or first symbol, respectively, of the second repetition of the PRACH in a second slot.</w:t>
            </w:r>
          </w:p>
        </w:tc>
        <w:tc>
          <w:tcPr>
            <w:tcW w:w="708" w:type="dxa"/>
            <w:shd w:val="clear" w:color="auto" w:fill="auto"/>
          </w:tcPr>
          <w:p w:rsidR="00E9498C" w:rsidRDefault="00B22441">
            <w:pPr>
              <w:pStyle w:val="TAL"/>
              <w:rPr>
                <w:rFonts w:cs="Arial"/>
                <w:sz w:val="11"/>
                <w:szCs w:val="10"/>
                <w:lang w:eastAsia="zh-CN"/>
              </w:rPr>
            </w:pPr>
            <w:r>
              <w:rPr>
                <w:rFonts w:cs="Arial" w:hint="eastAsia"/>
                <w:sz w:val="11"/>
                <w:szCs w:val="10"/>
                <w:lang w:eastAsia="zh-CN"/>
              </w:rPr>
              <w:lastRenderedPageBreak/>
              <w:t>P</w:t>
            </w:r>
            <w:r>
              <w:rPr>
                <w:rFonts w:cs="Arial"/>
                <w:sz w:val="11"/>
                <w:szCs w:val="10"/>
                <w:lang w:eastAsia="zh-CN"/>
              </w:rPr>
              <w:t>er band</w:t>
            </w:r>
          </w:p>
        </w:tc>
        <w:tc>
          <w:tcPr>
            <w:tcW w:w="709" w:type="dxa"/>
            <w:shd w:val="clear" w:color="auto" w:fill="auto"/>
          </w:tcPr>
          <w:p w:rsidR="00E9498C" w:rsidRDefault="00B22441">
            <w:pPr>
              <w:pStyle w:val="TAL"/>
              <w:rPr>
                <w:rFonts w:cs="Arial"/>
                <w:sz w:val="11"/>
                <w:szCs w:val="10"/>
                <w:lang w:eastAsia="ja-JP"/>
              </w:rPr>
            </w:pPr>
            <w:r>
              <w:rPr>
                <w:rFonts w:eastAsia="MS Mincho" w:cs="Arial"/>
                <w:sz w:val="11"/>
                <w:szCs w:val="10"/>
                <w:lang w:eastAsia="ja-JP"/>
              </w:rPr>
              <w:t>N/A</w:t>
            </w:r>
          </w:p>
        </w:tc>
        <w:tc>
          <w:tcPr>
            <w:tcW w:w="558" w:type="dxa"/>
            <w:shd w:val="clear" w:color="auto" w:fill="auto"/>
          </w:tcPr>
          <w:p w:rsidR="00E9498C" w:rsidRDefault="00B22441">
            <w:pPr>
              <w:pStyle w:val="TAL"/>
              <w:rPr>
                <w:rFonts w:cs="Arial"/>
                <w:sz w:val="11"/>
                <w:szCs w:val="10"/>
                <w:lang w:eastAsia="ja-JP"/>
              </w:rPr>
            </w:pPr>
            <w:r>
              <w:rPr>
                <w:rFonts w:eastAsia="MS Mincho" w:cs="Arial"/>
                <w:sz w:val="11"/>
                <w:szCs w:val="10"/>
                <w:lang w:eastAsia="ja-JP"/>
              </w:rPr>
              <w:t>N/A</w:t>
            </w:r>
          </w:p>
        </w:tc>
        <w:tc>
          <w:tcPr>
            <w:tcW w:w="745" w:type="dxa"/>
            <w:shd w:val="clear" w:color="auto" w:fill="auto"/>
          </w:tcPr>
          <w:p w:rsidR="00E9498C" w:rsidRDefault="00B22441">
            <w:pPr>
              <w:pStyle w:val="TAL"/>
              <w:rPr>
                <w:rFonts w:cs="Arial"/>
                <w:sz w:val="11"/>
                <w:szCs w:val="10"/>
                <w:lang w:eastAsia="ja-JP"/>
              </w:rPr>
            </w:pPr>
            <w:r>
              <w:rPr>
                <w:rFonts w:eastAsia="MS Mincho" w:cs="Arial"/>
                <w:sz w:val="11"/>
                <w:szCs w:val="10"/>
                <w:lang w:eastAsia="ja-JP"/>
              </w:rPr>
              <w:t>N/A</w:t>
            </w:r>
          </w:p>
        </w:tc>
        <w:tc>
          <w:tcPr>
            <w:tcW w:w="399" w:type="dxa"/>
            <w:shd w:val="clear" w:color="auto" w:fill="auto"/>
          </w:tcPr>
          <w:p w:rsidR="00E9498C" w:rsidRDefault="00E9498C">
            <w:pPr>
              <w:pStyle w:val="TAL"/>
              <w:rPr>
                <w:rFonts w:cs="Arial"/>
                <w:sz w:val="11"/>
                <w:szCs w:val="10"/>
              </w:rPr>
            </w:pPr>
          </w:p>
        </w:tc>
        <w:tc>
          <w:tcPr>
            <w:tcW w:w="986" w:type="dxa"/>
            <w:shd w:val="clear" w:color="auto" w:fill="auto"/>
          </w:tcPr>
          <w:p w:rsidR="00E9498C" w:rsidRDefault="00B22441">
            <w:pPr>
              <w:pStyle w:val="TAL"/>
              <w:rPr>
                <w:rFonts w:cs="Arial"/>
                <w:sz w:val="11"/>
                <w:szCs w:val="10"/>
                <w:lang w:eastAsia="ja-JP"/>
              </w:rPr>
            </w:pPr>
            <w:r>
              <w:rPr>
                <w:rFonts w:eastAsia="MS Mincho" w:cs="Arial"/>
                <w:sz w:val="11"/>
                <w:szCs w:val="10"/>
              </w:rPr>
              <w:t xml:space="preserve">Optional with capability </w:t>
            </w:r>
            <w:proofErr w:type="spellStart"/>
            <w:r>
              <w:rPr>
                <w:rFonts w:eastAsia="MS Mincho" w:cs="Arial"/>
                <w:sz w:val="11"/>
                <w:szCs w:val="10"/>
              </w:rPr>
              <w:t>signalling</w:t>
            </w:r>
            <w:proofErr w:type="spellEnd"/>
            <w:r>
              <w:rPr>
                <w:rFonts w:eastAsia="MS Mincho" w:cs="Arial"/>
                <w:sz w:val="11"/>
                <w:szCs w:val="10"/>
              </w:rPr>
              <w:t>.</w:t>
            </w:r>
          </w:p>
        </w:tc>
      </w:tr>
    </w:tbl>
    <w:p w:rsidR="00E9498C" w:rsidRDefault="00E9498C">
      <w:pPr>
        <w:spacing w:beforeLines="50" w:before="120"/>
        <w:rPr>
          <w:i/>
          <w:lang w:val="en-US" w:eastAsia="zh-CN"/>
        </w:rPr>
      </w:pPr>
    </w:p>
    <w:p w:rsidR="00E9498C" w:rsidRDefault="00B22441">
      <w:pPr>
        <w:pStyle w:val="2"/>
      </w:pPr>
      <w:r>
        <w:t>UE features for dynamic switching between DFT-S-OFDM and CP-OFDM</w:t>
      </w:r>
    </w:p>
    <w:p w:rsidR="00E9498C" w:rsidRDefault="00B22441">
      <w:pPr>
        <w:rPr>
          <w:color w:val="000000"/>
          <w:lang w:eastAsia="zh-CN"/>
        </w:rPr>
      </w:pPr>
      <w:r>
        <w:rPr>
          <w:color w:val="000000"/>
          <w:lang w:eastAsia="zh-CN"/>
        </w:rPr>
        <w:t xml:space="preserve">In the discussion of multi-carrier enhancement session in RAN1#115 meeting, it reached a conclusion on whether the dynamic waveform switching can be applicable to PUSCH scheduled by DCI format 0_3 as below:  </w:t>
      </w:r>
    </w:p>
    <w:tbl>
      <w:tblPr>
        <w:tblStyle w:val="afd"/>
        <w:tblW w:w="0" w:type="auto"/>
        <w:tblLook w:val="04A0" w:firstRow="1" w:lastRow="0" w:firstColumn="1" w:lastColumn="0" w:noHBand="0" w:noVBand="1"/>
      </w:tblPr>
      <w:tblGrid>
        <w:gridCol w:w="9629"/>
      </w:tblGrid>
      <w:tr w:rsidR="00E9498C">
        <w:tc>
          <w:tcPr>
            <w:tcW w:w="9629" w:type="dxa"/>
          </w:tcPr>
          <w:p w:rsidR="00E9498C" w:rsidRDefault="00B22441">
            <w:pPr>
              <w:rPr>
                <w:b/>
                <w:bCs/>
                <w:lang w:eastAsia="zh-CN"/>
              </w:rPr>
            </w:pPr>
            <w:r>
              <w:rPr>
                <w:b/>
                <w:bCs/>
                <w:lang w:eastAsia="zh-CN"/>
              </w:rPr>
              <w:t>Conclusion</w:t>
            </w:r>
          </w:p>
          <w:p w:rsidR="00E9498C" w:rsidRDefault="00B22441">
            <w:pPr>
              <w:rPr>
                <w:rFonts w:eastAsiaTheme="minorEastAsia"/>
                <w:lang w:eastAsia="zh-CN"/>
              </w:rPr>
            </w:pPr>
            <w:r>
              <w:rPr>
                <w:lang w:eastAsia="zh-CN"/>
              </w:rPr>
              <w:t>There is no consensus to support TPI</w:t>
            </w:r>
            <w:r>
              <w:rPr>
                <w:lang w:eastAsia="zh-CN"/>
              </w:rPr>
              <w:t xml:space="preserve"> field for </w:t>
            </w:r>
            <w:r>
              <w:rPr>
                <w:rFonts w:eastAsia="Malgun Gothic"/>
                <w:lang w:eastAsia="zh-CN"/>
              </w:rPr>
              <w:t>DCI format 0_3 in Rel-18</w:t>
            </w:r>
          </w:p>
        </w:tc>
      </w:tr>
    </w:tbl>
    <w:p w:rsidR="00E9498C" w:rsidRDefault="00B22441">
      <w:pPr>
        <w:spacing w:beforeLines="100" w:before="240"/>
        <w:rPr>
          <w:rFonts w:eastAsia="Microsoft YaHei UI"/>
          <w:color w:val="000000"/>
        </w:rPr>
      </w:pPr>
      <w:r>
        <w:rPr>
          <w:lang w:val="en-US" w:eastAsia="zh-CN"/>
        </w:rPr>
        <w:t xml:space="preserve">Based on above conclusion, DCI format 0_3 should be removed from current components of FG for </w:t>
      </w:r>
      <w:r>
        <w:rPr>
          <w:rFonts w:eastAsia="MS Mincho" w:cs="Arial"/>
          <w:szCs w:val="18"/>
        </w:rPr>
        <w:t>dynamic waveform switching</w:t>
      </w:r>
      <w:r>
        <w:rPr>
          <w:color w:val="000000" w:themeColor="text1"/>
          <w:lang w:val="en-US" w:eastAsia="zh-CN"/>
        </w:rPr>
        <w:t>.</w:t>
      </w:r>
    </w:p>
    <w:p w:rsidR="00E9498C" w:rsidRDefault="00B22441">
      <w:pPr>
        <w:rPr>
          <w:i/>
          <w:lang w:val="en-US" w:eastAsia="zh-CN"/>
        </w:rPr>
      </w:pPr>
      <w:r>
        <w:rPr>
          <w:b/>
          <w:i/>
          <w:lang w:val="en-US" w:eastAsia="zh-CN"/>
        </w:rPr>
        <w:t>Proposal 4:</w:t>
      </w:r>
      <w:r>
        <w:rPr>
          <w:i/>
          <w:lang w:val="en-US" w:eastAsia="zh-CN"/>
        </w:rPr>
        <w:t xml:space="preserve"> Remove the DCI format 0_3 from components of FG for dynamic waveform switching.</w:t>
      </w:r>
    </w:p>
    <w:p w:rsidR="00E9498C" w:rsidRDefault="00B22441">
      <w:pPr>
        <w:rPr>
          <w:lang w:val="en-US" w:eastAsia="zh-CN"/>
        </w:rPr>
      </w:pPr>
      <w:r>
        <w:rPr>
          <w:rFonts w:hint="eastAsia"/>
          <w:lang w:val="en-US" w:eastAsia="zh-CN"/>
        </w:rPr>
        <w:t>F</w:t>
      </w:r>
      <w:r>
        <w:rPr>
          <w:lang w:val="en-US" w:eastAsia="zh-CN"/>
        </w:rPr>
        <w:t xml:space="preserve">or the new additional FG 54-3b, in order to support dynamic waveform switching for DCI format 0_1/0_2 for intra-band UL CA, the maximum number </w:t>
      </w:r>
      <w:r>
        <w:rPr>
          <w:i/>
          <w:lang w:val="en-US" w:eastAsia="zh-CN"/>
        </w:rPr>
        <w:t>X</w:t>
      </w:r>
      <w:r>
        <w:rPr>
          <w:lang w:val="en-US" w:eastAsia="zh-CN"/>
        </w:rPr>
        <w:t xml:space="preserve"> of intra-band CCs in the band has not determined. The candidate value depends on the UE capability, at least </w:t>
      </w:r>
      <w:r>
        <w:rPr>
          <w:i/>
          <w:lang w:val="en-US" w:eastAsia="zh-CN"/>
        </w:rPr>
        <w:t>X</w:t>
      </w:r>
      <w:r>
        <w:rPr>
          <w:lang w:val="en-US" w:eastAsia="zh-CN"/>
        </w:rPr>
        <w:t xml:space="preserve"> </w:t>
      </w:r>
      <w:r>
        <w:rPr>
          <w:lang w:val="en-US" w:eastAsia="zh-CN"/>
        </w:rPr>
        <w:t>should equal to 2, and larger values can also be supported. Considering the tradeoff between the complexity and the adaptability of DWS function, up to 8 CCs per band is preferred.</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5</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54-3b, </w:t>
      </w:r>
      <w:r>
        <w:rPr>
          <w:rFonts w:eastAsiaTheme="minorEastAsia"/>
          <w:i/>
          <w:lang w:val="en-US" w:eastAsia="zh-CN"/>
        </w:rPr>
        <w:t xml:space="preserve">up to 8 CCs per band is preferred </w:t>
      </w:r>
      <w:r>
        <w:rPr>
          <w:bCs/>
          <w:i/>
          <w:lang w:eastAsia="zh-CN"/>
        </w:rPr>
        <w:t xml:space="preserve">to support </w:t>
      </w:r>
      <w:r>
        <w:rPr>
          <w:bCs/>
          <w:i/>
          <w:lang w:eastAsia="zh-CN"/>
        </w:rPr>
        <w:t>dynamic waveform switching for DCI format 0_1/0_2 for intra-band UL CA</w:t>
      </w:r>
      <w:r>
        <w:rPr>
          <w:rFonts w:eastAsiaTheme="minorEastAsia"/>
          <w:i/>
          <w:lang w:val="en-US" w:eastAsia="zh-CN"/>
        </w:rPr>
        <w:t>.</w:t>
      </w:r>
    </w:p>
    <w:p w:rsidR="00E9498C" w:rsidRDefault="00B22441">
      <w:pPr>
        <w:rPr>
          <w:iCs/>
          <w:lang w:val="en-US" w:eastAsia="zh-CN"/>
        </w:rPr>
      </w:pPr>
      <w:r>
        <w:rPr>
          <w:rFonts w:hint="eastAsia"/>
          <w:lang w:val="en-US" w:eastAsia="zh-CN"/>
        </w:rPr>
        <w:t>F</w:t>
      </w:r>
      <w:r>
        <w:rPr>
          <w:lang w:val="en-US" w:eastAsia="zh-CN"/>
        </w:rPr>
        <w:t xml:space="preserve">or FG 54-3a, the report type for FG of PHR enhancement for dynamic waveform switching is not determined. For simplicity, the report type of sub-FG 54-3a can follow the report type of </w:t>
      </w:r>
      <w:r>
        <w:rPr>
          <w:lang w:val="en-US" w:eastAsia="zh-CN"/>
        </w:rPr>
        <w:t>prerequisite FG 54-3, i.e., the report type of FG 54-3a should be per Band.</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6</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FG</w:t>
      </w:r>
      <w:r>
        <w:rPr>
          <w:bCs/>
          <w:i/>
          <w:lang w:eastAsia="zh-CN"/>
        </w:rPr>
        <w:t xml:space="preserve">54-3a, </w:t>
      </w:r>
      <w:r>
        <w:rPr>
          <w:i/>
          <w:lang w:val="en-US" w:eastAsia="zh-CN"/>
        </w:rPr>
        <w:t>p</w:t>
      </w:r>
      <w:r>
        <w:rPr>
          <w:rFonts w:eastAsiaTheme="minorEastAsia"/>
          <w:i/>
          <w:lang w:val="en-US" w:eastAsia="zh-CN"/>
        </w:rPr>
        <w:t>er Band reporting should be supported.</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7</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E9498C">
        <w:trPr>
          <w:trHeight w:val="1361"/>
        </w:trPr>
        <w:tc>
          <w:tcPr>
            <w:tcW w:w="96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lastRenderedPageBreak/>
              <w:t>Features</w:t>
            </w:r>
          </w:p>
        </w:tc>
        <w:tc>
          <w:tcPr>
            <w:tcW w:w="397"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 xml:space="preserve">the capability </w:t>
            </w:r>
            <w:proofErr w:type="spellStart"/>
            <w:r>
              <w:rPr>
                <w:rFonts w:cs="Arial"/>
                <w:color w:val="000000" w:themeColor="text1"/>
                <w:sz w:val="10"/>
                <w:szCs w:val="18"/>
              </w:rPr>
              <w:t>signalling</w:t>
            </w:r>
            <w:proofErr w:type="spellEnd"/>
            <w:r>
              <w:rPr>
                <w:rFonts w:cs="Arial"/>
                <w:color w:val="000000" w:themeColor="text1"/>
                <w:sz w:val="10"/>
                <w:szCs w:val="18"/>
              </w:rPr>
              <w:t xml:space="preserve"> exchange between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832" w:type="dxa"/>
            <w:tcBorders>
              <w:top w:val="single" w:sz="4" w:space="0" w:color="auto"/>
              <w:left w:val="single" w:sz="4" w:space="0" w:color="auto"/>
              <w:bottom w:val="single" w:sz="4" w:space="0" w:color="auto"/>
              <w:right w:val="single" w:sz="4" w:space="0" w:color="auto"/>
            </w:tcBorders>
          </w:tcPr>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 xml:space="preserve">Consequence if the feature is not supported by the </w:t>
            </w:r>
            <w:r>
              <w:rPr>
                <w:rFonts w:cs="Arial"/>
                <w:b/>
                <w:color w:val="000000" w:themeColor="text1"/>
                <w:sz w:val="10"/>
                <w:szCs w:val="18"/>
                <w:lang w:eastAsia="ja-JP"/>
              </w:rPr>
              <w:t>UE</w:t>
            </w:r>
          </w:p>
        </w:tc>
        <w:tc>
          <w:tcPr>
            <w:tcW w:w="923" w:type="dxa"/>
            <w:tcBorders>
              <w:top w:val="single" w:sz="4" w:space="0" w:color="auto"/>
              <w:left w:val="single" w:sz="4" w:space="0" w:color="auto"/>
              <w:bottom w:val="single" w:sz="4" w:space="0" w:color="auto"/>
              <w:right w:val="single" w:sz="4" w:space="0" w:color="auto"/>
            </w:tcBorders>
          </w:tcPr>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Capability interpretation for mixture o</w:t>
            </w:r>
            <w:r>
              <w:rPr>
                <w:rFonts w:cs="Arial"/>
                <w:color w:val="000000" w:themeColor="text1"/>
                <w:sz w:val="10"/>
                <w:szCs w:val="18"/>
              </w:rPr>
              <w:t>f FDD/TDD and/or FR1/FR2</w:t>
            </w:r>
          </w:p>
        </w:tc>
        <w:tc>
          <w:tcPr>
            <w:tcW w:w="719"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rPr>
              <w:t>Dynamic waveform switching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Theme="majorHAnsi" w:hAnsiTheme="majorHAnsi" w:cstheme="majorHAnsi"/>
                <w:color w:val="000000" w:themeColor="text1"/>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highlight w:val="yellow"/>
              </w:rPr>
              <w:t>]</w:t>
            </w:r>
            <w:r>
              <w:rPr>
                <w:sz w:val="10"/>
                <w:szCs w:val="10"/>
              </w:rPr>
              <w:t xml:space="preserve"> </w:t>
            </w:r>
            <w:r>
              <w:rPr>
                <w:rFonts w:ascii="Arial" w:hAnsi="Arial" w:cs="Arial"/>
                <w:sz w:val="10"/>
                <w:szCs w:val="10"/>
              </w:rPr>
              <w:t>in a band when configured with 1 UL carrier.</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eastAsia="MS Mincho" w:hAnsiTheme="majorHAnsi" w:cstheme="majorHAnsi"/>
                <w:color w:val="000000" w:themeColor="text1"/>
                <w:sz w:val="10"/>
                <w:szCs w:val="10"/>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Arial"/>
                <w:sz w:val="10"/>
                <w:szCs w:val="10"/>
                <w:lang w:eastAsia="zh-CN"/>
              </w:rPr>
              <w:t xml:space="preserve">Dynamic waveform switching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sz w:val="10"/>
                <w:szCs w:val="10"/>
                <w:lang w:eastAsia="zh-CN"/>
              </w:rPr>
              <w:t>If UE supporting this FG supports FG 11-1, the UE supports FG 54-3 with DCI format 0_2</w:t>
            </w:r>
          </w:p>
          <w:p w:rsidR="00E9498C" w:rsidRDefault="00E9498C">
            <w:pPr>
              <w:pStyle w:val="TAL"/>
              <w:rPr>
                <w:rFonts w:cs="Arial"/>
                <w:sz w:val="10"/>
                <w:szCs w:val="10"/>
                <w:lang w:eastAsia="zh-CN"/>
              </w:rPr>
            </w:pPr>
          </w:p>
          <w:p w:rsidR="00E9498C" w:rsidRDefault="00B22441">
            <w:pPr>
              <w:pStyle w:val="TAL"/>
              <w:rPr>
                <w:rFonts w:cs="Arial"/>
                <w:sz w:val="10"/>
                <w:szCs w:val="10"/>
                <w:lang w:eastAsia="zh-CN"/>
              </w:rPr>
            </w:pPr>
            <w:r>
              <w:rPr>
                <w:rFonts w:cs="Arial"/>
                <w:sz w:val="10"/>
                <w:szCs w:val="10"/>
                <w:lang w:eastAsia="zh-CN"/>
              </w:rPr>
              <w:t>If UE supporting this FG supports FG 10-17, the UE supports FG 54-3 with multi-PUSCH scheduling</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Optional with capability signaling.</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rPr>
              <w:t>PHR enhancement for</w:t>
            </w:r>
            <w:r>
              <w:rPr>
                <w:rFonts w:eastAsia="MS Mincho"/>
                <w:sz w:val="10"/>
                <w:szCs w:val="10"/>
              </w:rPr>
              <w:t xml:space="preserve"> d</w:t>
            </w:r>
            <w:r>
              <w:rPr>
                <w:rFonts w:eastAsia="MS Mincho" w:cs="Arial"/>
                <w:sz w:val="10"/>
                <w:szCs w:val="10"/>
              </w:rPr>
              <w:t xml:space="preserve">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Theme="majorHAnsi" w:hAnsiTheme="majorHAnsi" w:cstheme="majorHAnsi"/>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Y</w:t>
            </w:r>
            <w:r>
              <w:rPr>
                <w:rFonts w:cs="Arial"/>
                <w:sz w:val="10"/>
                <w:szCs w:val="10"/>
                <w:lang w:eastAsia="zh-CN"/>
              </w:rPr>
              <w:t>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N</w:t>
            </w:r>
            <w:r>
              <w:rPr>
                <w:rFonts w:cs="Arial"/>
                <w:sz w:val="10"/>
                <w:szCs w:val="10"/>
                <w:lang w:eastAsia="zh-CN"/>
              </w:rPr>
              <w:t>/A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u w:val="single"/>
                <w:lang w:eastAsia="zh-CN"/>
              </w:rPr>
            </w:pPr>
            <w:r>
              <w:rPr>
                <w:rFonts w:cstheme="majorHAnsi"/>
                <w:color w:val="FF0000"/>
                <w:sz w:val="10"/>
                <w:szCs w:val="10"/>
                <w:u w:val="single"/>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lang w:eastAsia="ja-JP"/>
              </w:rPr>
            </w:pPr>
            <w:r>
              <w:rPr>
                <w:rFonts w:eastAsia="MS Mincho" w:cs="Arial"/>
                <w:sz w:val="10"/>
                <w:szCs w:val="10"/>
                <w:lang w:eastAsia="ja-JP"/>
              </w:rPr>
              <w:t>Optional with capability signaling.</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Dynamic waveform switching for intra-band UL CA</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rPr>
              <w:t xml:space="preserve"> for intra-band UL CA </w:t>
            </w:r>
            <w:r>
              <w:rPr>
                <w:rFonts w:ascii="Arial" w:hAnsi="Arial" w:cs="Arial"/>
                <w:strike/>
                <w:sz w:val="10"/>
                <w:szCs w:val="10"/>
              </w:rPr>
              <w:t>[</w:t>
            </w:r>
            <w:r>
              <w:rPr>
                <w:rFonts w:ascii="Arial" w:hAnsi="Arial" w:cs="Arial"/>
                <w:sz w:val="10"/>
                <w:szCs w:val="10"/>
              </w:rPr>
              <w:t xml:space="preserve">with up to </w:t>
            </w:r>
            <w:r>
              <w:rPr>
                <w:rFonts w:ascii="Arial" w:hAnsi="Arial" w:cs="Arial"/>
                <w:color w:val="FF0000"/>
                <w:sz w:val="10"/>
                <w:szCs w:val="10"/>
                <w:u w:val="single"/>
              </w:rPr>
              <w:t>8</w:t>
            </w:r>
            <w:r>
              <w:rPr>
                <w:rFonts w:ascii="Arial" w:hAnsi="Arial" w:cs="Arial"/>
                <w:strike/>
                <w:sz w:val="10"/>
                <w:szCs w:val="10"/>
              </w:rPr>
              <w:t>X</w:t>
            </w:r>
            <w:r>
              <w:rPr>
                <w:rFonts w:ascii="Arial" w:hAnsi="Arial" w:cs="Arial"/>
                <w:sz w:val="10"/>
                <w:szCs w:val="10"/>
              </w:rPr>
              <w:t xml:space="preserve"> CCs in the band</w:t>
            </w:r>
            <w:r>
              <w:rPr>
                <w:rFonts w:ascii="Arial" w:hAnsi="Arial" w:cs="Arial"/>
                <w:strike/>
                <w:sz w:val="10"/>
                <w:szCs w:val="10"/>
              </w:rPr>
              <w:t>]</w:t>
            </w:r>
            <w:r>
              <w:rPr>
                <w:rFonts w:ascii="Arial" w:hAnsi="Arial" w:cs="Arial"/>
                <w:sz w:val="10"/>
                <w:szCs w:val="10"/>
              </w:rPr>
              <w:t>.</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cs="Arial"/>
                <w:sz w:val="10"/>
                <w:szCs w:val="10"/>
                <w:lang w:eastAsia="zh-CN"/>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theme="majorHAnsi"/>
                <w:color w:val="000000" w:themeColor="text1"/>
                <w:sz w:val="10"/>
                <w:szCs w:val="10"/>
                <w:lang w:eastAsia="ja-JP"/>
              </w:rPr>
              <w:t xml:space="preserve">Per </w:t>
            </w:r>
            <w:r>
              <w:rPr>
                <w:rFonts w:cstheme="majorHAnsi"/>
                <w:color w:val="000000" w:themeColor="text1"/>
                <w:sz w:val="10"/>
                <w:szCs w:val="10"/>
                <w:lang w:eastAsia="ja-JP"/>
              </w:rPr>
              <w:t>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trike/>
                <w:sz w:val="10"/>
                <w:szCs w:val="10"/>
                <w:highlight w:val="yellow"/>
                <w:lang w:eastAsia="zh-CN"/>
              </w:rPr>
            </w:pPr>
            <w:r>
              <w:rPr>
                <w:rFonts w:cs="Arial"/>
                <w:strike/>
                <w:sz w:val="10"/>
                <w:szCs w:val="10"/>
                <w:highlight w:val="yellow"/>
                <w:lang w:eastAsia="zh-CN"/>
              </w:rPr>
              <w:t>[Candidate value for X {FFS}]</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lang w:eastAsia="ja-JP"/>
              </w:rPr>
            </w:pPr>
            <w:r>
              <w:rPr>
                <w:rFonts w:eastAsia="MS Mincho" w:cs="Arial"/>
                <w:sz w:val="10"/>
                <w:szCs w:val="10"/>
                <w:lang w:eastAsia="ja-JP"/>
              </w:rPr>
              <w:t>Optional with capability signaling.</w:t>
            </w:r>
          </w:p>
        </w:tc>
      </w:tr>
    </w:tbl>
    <w:p w:rsidR="00E9498C" w:rsidRDefault="00E9498C">
      <w:pPr>
        <w:rPr>
          <w:iCs/>
          <w:lang w:eastAsia="zh-CN"/>
        </w:rPr>
      </w:pPr>
    </w:p>
    <w:bookmarkEnd w:id="4"/>
    <w:p w:rsidR="00E9498C" w:rsidRDefault="00B22441">
      <w:pPr>
        <w:pStyle w:val="1"/>
        <w:pBdr>
          <w:top w:val="single" w:sz="12" w:space="0" w:color="auto"/>
        </w:pBdr>
      </w:pPr>
      <w:r>
        <w:rPr>
          <w:rFonts w:hint="eastAsia"/>
        </w:rPr>
        <w:t>C</w:t>
      </w:r>
      <w:r>
        <w:t>onclusion</w:t>
      </w:r>
    </w:p>
    <w:p w:rsidR="00E9498C" w:rsidRDefault="00B22441">
      <w:pPr>
        <w:rPr>
          <w:lang w:eastAsia="zh-CN"/>
        </w:rPr>
      </w:pPr>
      <w:r>
        <w:rPr>
          <w:rFonts w:hint="eastAsia"/>
          <w:lang w:eastAsia="zh-CN"/>
        </w:rPr>
        <w:t>I</w:t>
      </w:r>
      <w:r>
        <w:rPr>
          <w:lang w:eastAsia="zh-CN"/>
        </w:rPr>
        <w:t xml:space="preserve">n this section, the proposals on UE features on XR and coverage enhancements are summarized. </w:t>
      </w:r>
    </w:p>
    <w:p w:rsidR="00E9498C" w:rsidRDefault="00B22441">
      <w:pPr>
        <w:jc w:val="center"/>
        <w:rPr>
          <w:b/>
          <w:iCs/>
          <w:u w:val="single"/>
          <w:lang w:eastAsia="zh-CN"/>
        </w:rPr>
      </w:pPr>
      <w:r>
        <w:rPr>
          <w:b/>
          <w:iCs/>
          <w:u w:val="single"/>
          <w:lang w:eastAsia="zh-CN"/>
        </w:rPr>
        <w:t>UE features for XR</w:t>
      </w:r>
    </w:p>
    <w:p w:rsidR="00E9498C" w:rsidRDefault="00B22441">
      <w:pPr>
        <w:adjustRightInd w:val="0"/>
        <w:spacing w:beforeLines="50" w:before="120" w:afterLines="50"/>
        <w:rPr>
          <w:b/>
          <w:bCs/>
          <w:i/>
          <w:iCs/>
        </w:rPr>
      </w:pPr>
      <w:r>
        <w:rPr>
          <w:rFonts w:hint="eastAsia"/>
          <w:b/>
          <w:bCs/>
          <w:i/>
          <w:iCs/>
        </w:rPr>
        <w:t xml:space="preserve">Proposal 1: </w:t>
      </w:r>
      <w:r>
        <w:rPr>
          <w:rFonts w:hint="eastAsia"/>
          <w:i/>
          <w:iCs/>
        </w:rPr>
        <w:t>Support FG 50-1b with the function</w:t>
      </w:r>
      <w:r>
        <w:rPr>
          <w:rFonts w:hint="eastAsia"/>
          <w:i/>
          <w:iCs/>
        </w:rPr>
        <w:t xml:space="preserve"> of supporting joint release of, including e.g., Rel-16 CG configurations, Rel-18 CG configuration and both Rel-16 CG configuration</w:t>
      </w:r>
      <w:r>
        <w:rPr>
          <w:i/>
          <w:iCs/>
        </w:rPr>
        <w:t>s and</w:t>
      </w:r>
      <w:r>
        <w:rPr>
          <w:rFonts w:hint="eastAsia"/>
          <w:i/>
          <w:iCs/>
        </w:rPr>
        <w:t xml:space="preserve"> Rel-18 CG configurations.</w:t>
      </w:r>
    </w:p>
    <w:p w:rsidR="00E9498C" w:rsidRDefault="00B22441">
      <w:pPr>
        <w:adjustRightInd w:val="0"/>
        <w:spacing w:beforeLines="50" w:before="120" w:afterLines="50"/>
        <w:rPr>
          <w:bCs/>
          <w:i/>
          <w:iCs/>
        </w:rPr>
      </w:pPr>
      <w:r>
        <w:rPr>
          <w:rFonts w:hint="eastAsia"/>
          <w:b/>
          <w:bCs/>
          <w:i/>
          <w:iCs/>
        </w:rPr>
        <w:t>P</w:t>
      </w:r>
      <w:r>
        <w:rPr>
          <w:b/>
          <w:bCs/>
          <w:i/>
          <w:iCs/>
        </w:rPr>
        <w:t xml:space="preserve">roposal </w:t>
      </w:r>
      <w:r>
        <w:rPr>
          <w:rFonts w:hint="eastAsia"/>
          <w:b/>
          <w:bCs/>
          <w:i/>
          <w:iCs/>
        </w:rPr>
        <w:t>2</w:t>
      </w:r>
      <w:r>
        <w:rPr>
          <w:b/>
          <w:bCs/>
          <w:i/>
          <w:iCs/>
        </w:rPr>
        <w:t>:</w:t>
      </w:r>
      <w:r>
        <w:rPr>
          <w:bCs/>
          <w:i/>
          <w:iCs/>
        </w:rPr>
        <w:t xml:space="preserve"> Update</w:t>
      </w:r>
      <w:r>
        <w:rPr>
          <w:rFonts w:hint="eastAsia"/>
          <w:bCs/>
          <w:i/>
          <w:iCs/>
        </w:rPr>
        <w:t xml:space="preserve"> the FG 50-1b </w:t>
      </w:r>
      <w:r>
        <w:rPr>
          <w:bCs/>
          <w:i/>
          <w:iCs/>
        </w:rPr>
        <w:t>as follows.</w:t>
      </w:r>
      <w:r>
        <w:rPr>
          <w:rFonts w:hint="eastAsia"/>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283"/>
        <w:gridCol w:w="3964"/>
      </w:tblGrid>
      <w:tr w:rsidR="00E9498C">
        <w:trPr>
          <w:trHeight w:val="20"/>
        </w:trPr>
        <w:tc>
          <w:tcPr>
            <w:tcW w:w="562"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t>Index</w:t>
            </w:r>
          </w:p>
        </w:tc>
        <w:tc>
          <w:tcPr>
            <w:tcW w:w="1134"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Feature group</w:t>
            </w:r>
          </w:p>
        </w:tc>
        <w:tc>
          <w:tcPr>
            <w:tcW w:w="2552"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Components</w:t>
            </w:r>
          </w:p>
        </w:tc>
        <w:tc>
          <w:tcPr>
            <w:tcW w:w="1134" w:type="dxa"/>
            <w:tcBorders>
              <w:top w:val="single" w:sz="4" w:space="0" w:color="auto"/>
              <w:left w:val="nil"/>
              <w:bottom w:val="single" w:sz="4" w:space="0" w:color="auto"/>
              <w:right w:val="single" w:sz="4" w:space="0" w:color="auto"/>
            </w:tcBorders>
          </w:tcPr>
          <w:p w:rsidR="00E9498C" w:rsidRDefault="00B22441">
            <w:pPr>
              <w:pStyle w:val="TAH"/>
              <w:rPr>
                <w:rFonts w:ascii="Times New Roman" w:hAnsi="Times New Roman"/>
                <w:b w:val="0"/>
                <w:color w:val="000000"/>
                <w:sz w:val="16"/>
              </w:rPr>
            </w:pPr>
            <w:r>
              <w:rPr>
                <w:rFonts w:ascii="Times New Roman" w:hAnsi="Times New Roman"/>
                <w:b w:val="0"/>
                <w:color w:val="000000"/>
                <w:sz w:val="16"/>
              </w:rPr>
              <w:t xml:space="preserve">Prerequisite </w:t>
            </w:r>
            <w:r>
              <w:rPr>
                <w:rFonts w:ascii="Times New Roman" w:hAnsi="Times New Roman"/>
                <w:b w:val="0"/>
                <w:color w:val="000000"/>
                <w:sz w:val="16"/>
              </w:rPr>
              <w:t>feature groups</w:t>
            </w:r>
          </w:p>
        </w:tc>
        <w:tc>
          <w:tcPr>
            <w:tcW w:w="283"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396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color w:val="000000"/>
                <w:sz w:val="16"/>
              </w:rPr>
              <w:t>Note</w:t>
            </w:r>
          </w:p>
        </w:tc>
      </w:tr>
      <w:tr w:rsidR="00E9498C">
        <w:trPr>
          <w:trHeight w:val="20"/>
        </w:trPr>
        <w:tc>
          <w:tcPr>
            <w:tcW w:w="562" w:type="dxa"/>
            <w:tcBorders>
              <w:top w:val="single" w:sz="4" w:space="0" w:color="auto"/>
              <w:left w:val="single" w:sz="4" w:space="0" w:color="auto"/>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13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552" w:type="dxa"/>
            <w:tcBorders>
              <w:top w:val="single" w:sz="4" w:space="0" w:color="auto"/>
              <w:left w:val="nil"/>
              <w:bottom w:val="single" w:sz="4" w:space="0" w:color="auto"/>
              <w:right w:val="single" w:sz="4" w:space="0" w:color="auto"/>
            </w:tcBorders>
          </w:tcPr>
          <w:p w:rsidR="00E9498C" w:rsidRDefault="00B22441">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w:t>
            </w:r>
            <w:r>
              <w:rPr>
                <w:bCs/>
                <w:color w:val="000000"/>
                <w:kern w:val="2"/>
                <w:sz w:val="16"/>
                <w:szCs w:val="18"/>
              </w:rPr>
              <w:t>, where each of the state can be mapped to a single or multiple CG configurations to be released</w:t>
            </w:r>
            <w:r>
              <w:rPr>
                <w:rFonts w:hint="eastAsia"/>
                <w:bCs/>
                <w:color w:val="000000"/>
                <w:kern w:val="2"/>
                <w:sz w:val="16"/>
                <w:szCs w:val="18"/>
              </w:rPr>
              <w:t>.</w:t>
            </w:r>
          </w:p>
          <w:p w:rsidR="00E9498C" w:rsidRDefault="00B22441">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w:t>
            </w:r>
            <w:r>
              <w:rPr>
                <w:bCs/>
                <w:color w:val="000000"/>
                <w:kern w:val="2"/>
                <w:sz w:val="16"/>
                <w:szCs w:val="18"/>
              </w:rPr>
              <w:t>tion</w:t>
            </w:r>
          </w:p>
          <w:p w:rsidR="00E9498C" w:rsidRDefault="00E9498C">
            <w:pPr>
              <w:spacing w:before="60"/>
              <w:contextualSpacing/>
              <w:rPr>
                <w:bCs/>
                <w:color w:val="000000"/>
                <w:kern w:val="2"/>
                <w:sz w:val="16"/>
                <w:szCs w:val="18"/>
              </w:rPr>
            </w:pPr>
          </w:p>
          <w:p w:rsidR="00E9498C" w:rsidRDefault="00B22441">
            <w:pPr>
              <w:spacing w:before="60"/>
              <w:contextualSpacing/>
              <w:rPr>
                <w:bCs/>
                <w:strike/>
                <w:color w:val="FF0000"/>
                <w:kern w:val="2"/>
                <w:sz w:val="16"/>
                <w:szCs w:val="18"/>
              </w:rPr>
            </w:pPr>
            <w:r>
              <w:rPr>
                <w:rFonts w:hint="eastAsia"/>
                <w:bCs/>
                <w:strike/>
                <w:color w:val="FF0000"/>
                <w:kern w:val="2"/>
                <w:sz w:val="16"/>
                <w:szCs w:val="18"/>
              </w:rPr>
              <w:t>FFS whether/how to capture the relationship with 11-9a</w:t>
            </w:r>
          </w:p>
        </w:tc>
        <w:tc>
          <w:tcPr>
            <w:tcW w:w="113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283" w:type="dxa"/>
            <w:tcBorders>
              <w:top w:val="single" w:sz="4" w:space="0" w:color="auto"/>
              <w:left w:val="nil"/>
              <w:bottom w:val="single" w:sz="4" w:space="0" w:color="auto"/>
              <w:right w:val="single" w:sz="4" w:space="0" w:color="auto"/>
            </w:tcBorders>
          </w:tcPr>
          <w:p w:rsidR="00E9498C" w:rsidRDefault="00E9498C">
            <w:pPr>
              <w:pStyle w:val="TAL"/>
              <w:snapToGrid w:val="0"/>
              <w:rPr>
                <w:rFonts w:ascii="Times New Roman" w:hAnsi="Times New Roman"/>
                <w:color w:val="000000"/>
                <w:sz w:val="16"/>
              </w:rPr>
            </w:pPr>
          </w:p>
        </w:tc>
        <w:tc>
          <w:tcPr>
            <w:tcW w:w="3964" w:type="dxa"/>
            <w:tcBorders>
              <w:top w:val="single" w:sz="4" w:space="0" w:color="auto"/>
              <w:left w:val="nil"/>
              <w:bottom w:val="single" w:sz="4" w:space="0" w:color="auto"/>
              <w:right w:val="single" w:sz="4" w:space="0" w:color="auto"/>
            </w:tcBorders>
          </w:tcPr>
          <w:p w:rsidR="00E9498C" w:rsidRDefault="00B22441">
            <w:pPr>
              <w:pStyle w:val="TAL"/>
              <w:snapToGrid w:val="0"/>
              <w:rPr>
                <w:rFonts w:ascii="Times New Roman" w:hAnsi="Times New Roman"/>
                <w:color w:val="000000"/>
                <w:sz w:val="16"/>
              </w:rPr>
            </w:pPr>
            <w:r>
              <w:rPr>
                <w:rFonts w:ascii="Times New Roman" w:hAnsi="Times New Roman" w:hint="eastAsia"/>
                <w:color w:val="000000"/>
                <w:sz w:val="16"/>
              </w:rPr>
              <w:t>Regarding the interpretation of UE capabilities in case of cross-carrier operation, support of FG50-1b is based on the support of this capability for the band of the schedul</w:t>
            </w:r>
            <w:r>
              <w:rPr>
                <w:rFonts w:ascii="Times New Roman" w:hAnsi="Times New Roman" w:hint="eastAsia"/>
                <w:color w:val="000000"/>
                <w:sz w:val="16"/>
              </w:rPr>
              <w:t>ed/triggered/indicated cell only</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strike/>
                <w:color w:val="FF0000"/>
                <w:sz w:val="16"/>
              </w:rPr>
            </w:pPr>
            <w:r>
              <w:rPr>
                <w:rFonts w:ascii="Times New Roman" w:hAnsi="Times New Roman" w:hint="eastAsia"/>
                <w:iCs/>
                <w:color w:val="FF0000"/>
                <w:sz w:val="16"/>
              </w:rPr>
              <w:t xml:space="preserve">If UE supports 50-1b, the UE </w:t>
            </w:r>
            <w:r>
              <w:rPr>
                <w:rFonts w:ascii="Times New Roman" w:hAnsi="Times New Roman"/>
                <w:iCs/>
                <w:color w:val="FF0000"/>
                <w:sz w:val="16"/>
              </w:rPr>
              <w:t>can be indicated to</w:t>
            </w:r>
            <w:r>
              <w:rPr>
                <w:rFonts w:ascii="Times New Roman" w:hAnsi="Times New Roman"/>
                <w:color w:val="FF0000"/>
                <w:sz w:val="16"/>
              </w:rPr>
              <w:t xml:space="preserve"> jointly release in a DCI for two or more configured grant Type 2 configurations, including multi-PUSCH CG configuration(s), for given BWP of a serving cell, </w:t>
            </w:r>
          </w:p>
          <w:p w:rsidR="00E9498C" w:rsidRDefault="00B22441">
            <w:pPr>
              <w:pStyle w:val="TAL"/>
              <w:snapToGrid w:val="0"/>
              <w:rPr>
                <w:rFonts w:ascii="Times New Roman" w:hAnsi="Times New Roman"/>
                <w:iCs/>
                <w:color w:val="FF0000"/>
                <w:sz w:val="16"/>
              </w:rPr>
            </w:pPr>
            <w:r>
              <w:rPr>
                <w:rFonts w:ascii="Times New Roman" w:hAnsi="Times New Roman" w:hint="eastAsia"/>
                <w:iCs/>
                <w:color w:val="FF0000"/>
                <w:sz w:val="16"/>
              </w:rPr>
              <w:t xml:space="preserve">If UE supports both 50-1a and 11-9a, the UE </w:t>
            </w:r>
            <w:r>
              <w:rPr>
                <w:rFonts w:ascii="Times New Roman" w:hAnsi="Times New Roman"/>
                <w:iCs/>
                <w:color w:val="FF0000"/>
                <w:sz w:val="16"/>
              </w:rPr>
              <w:t xml:space="preserve">can be indicated to </w:t>
            </w:r>
            <w:r>
              <w:rPr>
                <w:rFonts w:ascii="Times New Roman" w:hAnsi="Times New Roman" w:hint="eastAsia"/>
                <w:iCs/>
                <w:color w:val="FF0000"/>
                <w:sz w:val="16"/>
              </w:rPr>
              <w:t>jointly release in a DCI for two or more configured grant Type 2 configurations, including multi-PUSCH CG configuration(s), for given BWP of a serving cell, and FG 11-9a is ignored.</w:t>
            </w:r>
          </w:p>
          <w:p w:rsidR="00E9498C" w:rsidRDefault="00E9498C">
            <w:pPr>
              <w:pStyle w:val="TAL"/>
              <w:snapToGrid w:val="0"/>
              <w:rPr>
                <w:rFonts w:ascii="Times New Roman" w:hAnsi="Times New Roman"/>
                <w:color w:val="000000"/>
                <w:sz w:val="16"/>
                <w:highlight w:val="yellow"/>
              </w:rPr>
            </w:pPr>
          </w:p>
          <w:p w:rsidR="00E9498C" w:rsidRDefault="00B22441">
            <w:pPr>
              <w:pStyle w:val="TAL"/>
              <w:snapToGrid w:val="0"/>
              <w:rPr>
                <w:rFonts w:ascii="Times New Roman" w:hAnsi="Times New Roman"/>
                <w:color w:val="000000"/>
                <w:sz w:val="16"/>
              </w:rPr>
            </w:pPr>
            <w:r>
              <w:rPr>
                <w:rFonts w:ascii="Times New Roman" w:hAnsi="Times New Roman" w:hint="eastAsia"/>
                <w:sz w:val="16"/>
              </w:rPr>
              <w:t>If UE sup</w:t>
            </w:r>
            <w:r>
              <w:rPr>
                <w:rFonts w:ascii="Times New Roman" w:hAnsi="Times New Roman" w:hint="eastAsia"/>
                <w:sz w:val="16"/>
              </w:rPr>
              <w:t>ports 11-9a but does not support this FG, the UE does not expect to be indicated for joint release including multi-PUSCH CG configuration(s).</w:t>
            </w:r>
          </w:p>
        </w:tc>
      </w:tr>
    </w:tbl>
    <w:p w:rsidR="00E9498C" w:rsidRDefault="00E9498C">
      <w:pPr>
        <w:adjustRightInd w:val="0"/>
        <w:spacing w:beforeLines="50" w:before="120" w:afterLines="50"/>
        <w:rPr>
          <w:iCs/>
        </w:rPr>
      </w:pPr>
    </w:p>
    <w:p w:rsidR="00E9498C" w:rsidRDefault="00B22441">
      <w:pPr>
        <w:jc w:val="center"/>
        <w:rPr>
          <w:b/>
          <w:iCs/>
          <w:u w:val="single"/>
          <w:lang w:eastAsia="zh-CN"/>
        </w:rPr>
      </w:pPr>
      <w:r>
        <w:rPr>
          <w:b/>
          <w:iCs/>
          <w:u w:val="single"/>
          <w:lang w:eastAsia="zh-CN"/>
        </w:rPr>
        <w:t>UE features for coverage enhancements</w:t>
      </w:r>
    </w:p>
    <w:p w:rsidR="00E9498C" w:rsidRDefault="00B22441">
      <w:pPr>
        <w:spacing w:beforeLines="50" w:before="120"/>
        <w:rPr>
          <w:i/>
          <w:lang w:eastAsia="zh-CN"/>
        </w:rPr>
      </w:pPr>
      <w:r>
        <w:rPr>
          <w:rFonts w:hint="eastAsia"/>
          <w:b/>
          <w:i/>
        </w:rPr>
        <w:t>P</w:t>
      </w:r>
      <w:r>
        <w:rPr>
          <w:b/>
          <w:i/>
        </w:rPr>
        <w:t>roposal 3</w:t>
      </w:r>
      <w:r>
        <w:rPr>
          <w:bCs/>
          <w:i/>
        </w:rPr>
        <w:t>:</w:t>
      </w:r>
      <w:r>
        <w:rPr>
          <w:rFonts w:hint="eastAsia"/>
        </w:rPr>
        <w:t xml:space="preserve"> </w:t>
      </w:r>
      <w:r>
        <w:rPr>
          <w:bCs/>
          <w:i/>
        </w:rPr>
        <w:t>Introduce a new FG for PRACH dropping.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1"/>
        <w:gridCol w:w="755"/>
        <w:gridCol w:w="718"/>
        <w:gridCol w:w="691"/>
        <w:gridCol w:w="617"/>
        <w:gridCol w:w="631"/>
        <w:gridCol w:w="754"/>
        <w:gridCol w:w="640"/>
        <w:gridCol w:w="763"/>
        <w:gridCol w:w="763"/>
        <w:gridCol w:w="745"/>
        <w:gridCol w:w="399"/>
        <w:gridCol w:w="986"/>
      </w:tblGrid>
      <w:tr w:rsidR="00E9498C">
        <w:trPr>
          <w:trHeight w:val="20"/>
        </w:trPr>
        <w:tc>
          <w:tcPr>
            <w:tcW w:w="0" w:type="auto"/>
            <w:shd w:val="clear" w:color="auto" w:fill="auto"/>
          </w:tcPr>
          <w:p w:rsidR="00E9498C" w:rsidRDefault="00B22441">
            <w:pPr>
              <w:pStyle w:val="TAH"/>
              <w:rPr>
                <w:rFonts w:cs="Arial"/>
                <w:sz w:val="10"/>
                <w:szCs w:val="16"/>
              </w:rPr>
            </w:pPr>
            <w:r>
              <w:rPr>
                <w:rFonts w:cs="Arial"/>
                <w:sz w:val="10"/>
                <w:szCs w:val="16"/>
              </w:rPr>
              <w:lastRenderedPageBreak/>
              <w:t>Features</w:t>
            </w:r>
          </w:p>
        </w:tc>
        <w:tc>
          <w:tcPr>
            <w:tcW w:w="0" w:type="auto"/>
            <w:shd w:val="clear" w:color="auto" w:fill="auto"/>
          </w:tcPr>
          <w:p w:rsidR="00E9498C" w:rsidRDefault="00B22441">
            <w:pPr>
              <w:pStyle w:val="TAH"/>
              <w:rPr>
                <w:rFonts w:cs="Arial"/>
                <w:sz w:val="10"/>
                <w:szCs w:val="16"/>
              </w:rPr>
            </w:pPr>
            <w:r>
              <w:rPr>
                <w:rFonts w:cs="Arial"/>
                <w:sz w:val="10"/>
                <w:szCs w:val="16"/>
              </w:rPr>
              <w:t>Index</w:t>
            </w:r>
          </w:p>
        </w:tc>
        <w:tc>
          <w:tcPr>
            <w:tcW w:w="0" w:type="auto"/>
            <w:shd w:val="clear" w:color="auto" w:fill="auto"/>
          </w:tcPr>
          <w:p w:rsidR="00E9498C" w:rsidRDefault="00B22441">
            <w:pPr>
              <w:pStyle w:val="TAH"/>
              <w:rPr>
                <w:rFonts w:cs="Arial"/>
                <w:sz w:val="10"/>
                <w:szCs w:val="16"/>
              </w:rPr>
            </w:pPr>
            <w:r>
              <w:rPr>
                <w:rFonts w:cs="Arial"/>
                <w:sz w:val="10"/>
                <w:szCs w:val="16"/>
              </w:rPr>
              <w:t xml:space="preserve">Feature </w:t>
            </w:r>
            <w:r>
              <w:rPr>
                <w:rFonts w:cs="Arial"/>
                <w:sz w:val="10"/>
                <w:szCs w:val="16"/>
              </w:rPr>
              <w:t>group</w:t>
            </w:r>
          </w:p>
        </w:tc>
        <w:tc>
          <w:tcPr>
            <w:tcW w:w="0" w:type="auto"/>
            <w:shd w:val="clear" w:color="auto" w:fill="auto"/>
          </w:tcPr>
          <w:p w:rsidR="00E9498C" w:rsidRDefault="00B22441">
            <w:pPr>
              <w:pStyle w:val="TAH"/>
              <w:rPr>
                <w:rFonts w:cs="Arial"/>
                <w:sz w:val="10"/>
                <w:szCs w:val="16"/>
              </w:rPr>
            </w:pPr>
            <w:r>
              <w:rPr>
                <w:rFonts w:cs="Arial"/>
                <w:sz w:val="10"/>
                <w:szCs w:val="16"/>
              </w:rPr>
              <w:t>Components</w:t>
            </w:r>
          </w:p>
        </w:tc>
        <w:tc>
          <w:tcPr>
            <w:tcW w:w="0" w:type="auto"/>
            <w:shd w:val="clear" w:color="auto" w:fill="auto"/>
          </w:tcPr>
          <w:p w:rsidR="00E9498C" w:rsidRDefault="00B22441">
            <w:pPr>
              <w:pStyle w:val="TAH"/>
              <w:rPr>
                <w:rFonts w:cs="Arial"/>
                <w:sz w:val="10"/>
                <w:szCs w:val="16"/>
              </w:rPr>
            </w:pPr>
            <w:r>
              <w:rPr>
                <w:rFonts w:cs="Arial"/>
                <w:sz w:val="10"/>
                <w:szCs w:val="16"/>
              </w:rPr>
              <w:t>Prerequisite feature groups</w:t>
            </w:r>
          </w:p>
        </w:tc>
        <w:tc>
          <w:tcPr>
            <w:tcW w:w="0" w:type="auto"/>
            <w:shd w:val="clear" w:color="auto" w:fill="auto"/>
          </w:tcPr>
          <w:p w:rsidR="00E9498C" w:rsidRDefault="00B22441">
            <w:pPr>
              <w:pStyle w:val="TAH"/>
              <w:rPr>
                <w:rFonts w:cs="Arial"/>
                <w:sz w:val="10"/>
                <w:szCs w:val="16"/>
              </w:rPr>
            </w:pPr>
            <w:r>
              <w:rPr>
                <w:rFonts w:cs="Arial"/>
                <w:sz w:val="10"/>
                <w:szCs w:val="16"/>
              </w:rPr>
              <w:t xml:space="preserve">Need for the </w:t>
            </w:r>
            <w:proofErr w:type="spellStart"/>
            <w:r>
              <w:rPr>
                <w:rFonts w:cs="Arial"/>
                <w:sz w:val="10"/>
                <w:szCs w:val="16"/>
              </w:rPr>
              <w:t>gNB</w:t>
            </w:r>
            <w:proofErr w:type="spellEnd"/>
            <w:r>
              <w:rPr>
                <w:rFonts w:cs="Arial"/>
                <w:sz w:val="10"/>
                <w:szCs w:val="16"/>
              </w:rPr>
              <w:t xml:space="preserve"> to know if the feature is supported</w:t>
            </w:r>
          </w:p>
        </w:tc>
        <w:tc>
          <w:tcPr>
            <w:tcW w:w="0" w:type="auto"/>
            <w:shd w:val="clear" w:color="auto" w:fill="auto"/>
          </w:tcPr>
          <w:p w:rsidR="00E9498C" w:rsidRDefault="00B22441">
            <w:pPr>
              <w:pStyle w:val="TAH"/>
              <w:rPr>
                <w:rFonts w:cs="Arial"/>
                <w:sz w:val="10"/>
                <w:szCs w:val="16"/>
              </w:rPr>
            </w:pPr>
            <w:r>
              <w:rPr>
                <w:rFonts w:eastAsia="Gulim" w:cs="Arial"/>
                <w:sz w:val="10"/>
                <w:szCs w:val="16"/>
              </w:rPr>
              <w:t xml:space="preserve">Applicable to </w:t>
            </w:r>
            <w:r>
              <w:rPr>
                <w:rFonts w:cs="Arial"/>
                <w:sz w:val="10"/>
                <w:szCs w:val="16"/>
              </w:rPr>
              <w:t xml:space="preserve">the capability </w:t>
            </w:r>
            <w:proofErr w:type="spellStart"/>
            <w:r>
              <w:rPr>
                <w:rFonts w:cs="Arial"/>
                <w:sz w:val="10"/>
                <w:szCs w:val="16"/>
              </w:rPr>
              <w:t>signalling</w:t>
            </w:r>
            <w:proofErr w:type="spellEnd"/>
            <w:r>
              <w:rPr>
                <w:rFonts w:cs="Arial"/>
                <w:sz w:val="10"/>
                <w:szCs w:val="16"/>
              </w:rPr>
              <w:t xml:space="preserve"> exchange between UEs (</w:t>
            </w:r>
            <w:proofErr w:type="spellStart"/>
            <w:r>
              <w:rPr>
                <w:rFonts w:cs="Arial"/>
                <w:sz w:val="10"/>
                <w:szCs w:val="16"/>
              </w:rPr>
              <w:t>Sidelink</w:t>
            </w:r>
            <w:proofErr w:type="spellEnd"/>
            <w:r>
              <w:rPr>
                <w:rFonts w:cs="Arial"/>
                <w:sz w:val="10"/>
                <w:szCs w:val="16"/>
              </w:rPr>
              <w:t xml:space="preserve"> WI only)”.</w:t>
            </w:r>
          </w:p>
        </w:tc>
        <w:tc>
          <w:tcPr>
            <w:tcW w:w="0" w:type="auto"/>
            <w:shd w:val="clear" w:color="auto" w:fill="auto"/>
          </w:tcPr>
          <w:p w:rsidR="00E9498C" w:rsidRDefault="00B22441">
            <w:pPr>
              <w:pStyle w:val="TAN"/>
              <w:ind w:left="0" w:firstLine="0"/>
              <w:rPr>
                <w:rFonts w:cs="Arial"/>
                <w:b/>
                <w:sz w:val="10"/>
                <w:szCs w:val="16"/>
                <w:lang w:eastAsia="ja-JP"/>
              </w:rPr>
            </w:pPr>
            <w:r>
              <w:rPr>
                <w:rFonts w:cs="Arial"/>
                <w:b/>
                <w:sz w:val="10"/>
                <w:szCs w:val="16"/>
                <w:lang w:eastAsia="ja-JP"/>
              </w:rPr>
              <w:t>Consequence if the feature is not supported by the UE</w:t>
            </w:r>
          </w:p>
        </w:tc>
        <w:tc>
          <w:tcPr>
            <w:tcW w:w="0" w:type="auto"/>
            <w:shd w:val="clear" w:color="auto" w:fill="auto"/>
          </w:tcPr>
          <w:p w:rsidR="00E9498C" w:rsidRDefault="00B22441">
            <w:pPr>
              <w:pStyle w:val="TAN"/>
              <w:ind w:left="0" w:firstLine="0"/>
              <w:rPr>
                <w:rFonts w:cs="Arial"/>
                <w:b/>
                <w:sz w:val="10"/>
                <w:szCs w:val="16"/>
                <w:lang w:eastAsia="ja-JP"/>
              </w:rPr>
            </w:pPr>
            <w:r>
              <w:rPr>
                <w:rFonts w:cs="Arial"/>
                <w:b/>
                <w:sz w:val="10"/>
                <w:szCs w:val="16"/>
                <w:lang w:eastAsia="ja-JP"/>
              </w:rPr>
              <w:t>Type</w:t>
            </w:r>
          </w:p>
          <w:p w:rsidR="00E9498C" w:rsidRDefault="00B22441">
            <w:pPr>
              <w:pStyle w:val="TAN"/>
              <w:ind w:left="0" w:firstLine="0"/>
              <w:rPr>
                <w:rFonts w:cs="Arial"/>
                <w:b/>
                <w:sz w:val="10"/>
                <w:szCs w:val="16"/>
                <w:lang w:eastAsia="ja-JP"/>
              </w:rPr>
            </w:pPr>
            <w:r>
              <w:rPr>
                <w:rFonts w:cs="Arial"/>
                <w:b/>
                <w:sz w:val="10"/>
                <w:szCs w:val="16"/>
                <w:lang w:eastAsia="ja-JP"/>
              </w:rPr>
              <w:t xml:space="preserve">(the ‘type’ </w:t>
            </w:r>
            <w:r>
              <w:rPr>
                <w:rFonts w:cs="Arial"/>
                <w:b/>
                <w:sz w:val="10"/>
                <w:szCs w:val="16"/>
                <w:lang w:eastAsia="ja-JP"/>
              </w:rPr>
              <w:t>definition from UE features should be based on the granularity of 1) Per UE or 2) Per Band or 3) Per BC or 4) Per FS or 5) Per FSPC)</w:t>
            </w:r>
          </w:p>
        </w:tc>
        <w:tc>
          <w:tcPr>
            <w:tcW w:w="0" w:type="auto"/>
            <w:shd w:val="clear" w:color="auto" w:fill="auto"/>
          </w:tcPr>
          <w:p w:rsidR="00E9498C" w:rsidRDefault="00B22441">
            <w:pPr>
              <w:pStyle w:val="TAH"/>
              <w:rPr>
                <w:rFonts w:cs="Arial"/>
                <w:sz w:val="10"/>
                <w:szCs w:val="16"/>
              </w:rPr>
            </w:pPr>
            <w:r>
              <w:rPr>
                <w:rFonts w:cs="Arial"/>
                <w:sz w:val="10"/>
                <w:szCs w:val="16"/>
              </w:rPr>
              <w:t>Need of FDD/TDD differentiation</w:t>
            </w:r>
          </w:p>
        </w:tc>
        <w:tc>
          <w:tcPr>
            <w:tcW w:w="0" w:type="auto"/>
            <w:shd w:val="clear" w:color="auto" w:fill="auto"/>
          </w:tcPr>
          <w:p w:rsidR="00E9498C" w:rsidRDefault="00B22441">
            <w:pPr>
              <w:pStyle w:val="TAH"/>
              <w:rPr>
                <w:rFonts w:cs="Arial"/>
                <w:sz w:val="10"/>
                <w:szCs w:val="16"/>
              </w:rPr>
            </w:pPr>
            <w:r>
              <w:rPr>
                <w:rFonts w:cs="Arial"/>
                <w:sz w:val="10"/>
                <w:szCs w:val="16"/>
              </w:rPr>
              <w:t>Need of FR1/FR2 differentiation</w:t>
            </w:r>
          </w:p>
        </w:tc>
        <w:tc>
          <w:tcPr>
            <w:tcW w:w="0" w:type="auto"/>
            <w:shd w:val="clear" w:color="auto" w:fill="auto"/>
          </w:tcPr>
          <w:p w:rsidR="00E9498C" w:rsidRDefault="00B22441">
            <w:pPr>
              <w:pStyle w:val="TAH"/>
              <w:rPr>
                <w:rFonts w:cs="Arial"/>
                <w:sz w:val="10"/>
                <w:szCs w:val="16"/>
              </w:rPr>
            </w:pPr>
            <w:r>
              <w:rPr>
                <w:rFonts w:cs="Arial"/>
                <w:sz w:val="10"/>
                <w:szCs w:val="16"/>
              </w:rPr>
              <w:t>Capability interpretation for mixture of FDD/TDD and/or FR1</w:t>
            </w:r>
            <w:r>
              <w:rPr>
                <w:rFonts w:cs="Arial"/>
                <w:sz w:val="10"/>
                <w:szCs w:val="16"/>
              </w:rPr>
              <w:t>/FR2</w:t>
            </w:r>
          </w:p>
        </w:tc>
        <w:tc>
          <w:tcPr>
            <w:tcW w:w="0" w:type="auto"/>
            <w:shd w:val="clear" w:color="auto" w:fill="auto"/>
          </w:tcPr>
          <w:p w:rsidR="00E9498C" w:rsidRDefault="00B22441">
            <w:pPr>
              <w:pStyle w:val="TAH"/>
              <w:rPr>
                <w:rFonts w:cs="Arial"/>
                <w:sz w:val="10"/>
                <w:szCs w:val="16"/>
              </w:rPr>
            </w:pPr>
            <w:r>
              <w:rPr>
                <w:rFonts w:cs="Arial"/>
                <w:sz w:val="10"/>
                <w:szCs w:val="16"/>
              </w:rPr>
              <w:t>Note</w:t>
            </w:r>
          </w:p>
        </w:tc>
        <w:tc>
          <w:tcPr>
            <w:tcW w:w="0" w:type="auto"/>
            <w:shd w:val="clear" w:color="auto" w:fill="auto"/>
          </w:tcPr>
          <w:p w:rsidR="00E9498C" w:rsidRDefault="00B22441">
            <w:pPr>
              <w:pStyle w:val="TAH"/>
              <w:rPr>
                <w:rFonts w:cs="Arial"/>
                <w:sz w:val="10"/>
                <w:szCs w:val="16"/>
              </w:rPr>
            </w:pPr>
            <w:r>
              <w:rPr>
                <w:rFonts w:cs="Arial"/>
                <w:sz w:val="10"/>
                <w:szCs w:val="16"/>
              </w:rPr>
              <w:t>Mandatory/Optional</w:t>
            </w:r>
          </w:p>
        </w:tc>
      </w:tr>
      <w:tr w:rsidR="00E9498C">
        <w:trPr>
          <w:trHeight w:val="20"/>
        </w:trPr>
        <w:tc>
          <w:tcPr>
            <w:tcW w:w="0" w:type="auto"/>
            <w:shd w:val="clear" w:color="auto" w:fill="auto"/>
          </w:tcPr>
          <w:p w:rsidR="00E9498C" w:rsidRDefault="00B22441">
            <w:pPr>
              <w:pStyle w:val="TAL"/>
              <w:rPr>
                <w:rFonts w:cs="Arial"/>
                <w:sz w:val="10"/>
                <w:szCs w:val="10"/>
                <w:lang w:eastAsia="ja-JP"/>
              </w:rPr>
            </w:pPr>
            <w:r>
              <w:rPr>
                <w:rFonts w:cs="Arial"/>
                <w:sz w:val="10"/>
                <w:szCs w:val="10"/>
                <w:lang w:eastAsia="ja-JP"/>
              </w:rPr>
              <w:t>54. NR_cov_enh2</w:t>
            </w:r>
          </w:p>
        </w:tc>
        <w:tc>
          <w:tcPr>
            <w:tcW w:w="0" w:type="auto"/>
            <w:shd w:val="clear" w:color="auto" w:fill="auto"/>
          </w:tcPr>
          <w:p w:rsidR="00E9498C" w:rsidRDefault="00B22441">
            <w:pPr>
              <w:pStyle w:val="TAL"/>
              <w:rPr>
                <w:rFonts w:eastAsia="MS Mincho" w:cs="Arial"/>
                <w:sz w:val="10"/>
                <w:szCs w:val="10"/>
                <w:lang w:eastAsia="ja-JP"/>
              </w:rPr>
            </w:pPr>
            <w:r>
              <w:rPr>
                <w:rFonts w:eastAsia="MS Mincho" w:cs="Arial"/>
                <w:sz w:val="10"/>
                <w:szCs w:val="10"/>
                <w:lang w:eastAsia="ja-JP"/>
              </w:rPr>
              <w:t>54-1a</w:t>
            </w:r>
          </w:p>
        </w:tc>
        <w:tc>
          <w:tcPr>
            <w:tcW w:w="0" w:type="auto"/>
            <w:shd w:val="clear" w:color="auto" w:fill="auto"/>
          </w:tcPr>
          <w:p w:rsidR="00E9498C" w:rsidRDefault="00B22441">
            <w:pPr>
              <w:pStyle w:val="TAL"/>
              <w:rPr>
                <w:rFonts w:cs="Arial"/>
                <w:sz w:val="10"/>
                <w:szCs w:val="10"/>
                <w:lang w:eastAsia="zh-CN"/>
              </w:rPr>
            </w:pPr>
            <w:r>
              <w:rPr>
                <w:rFonts w:cs="Arial"/>
                <w:sz w:val="10"/>
                <w:szCs w:val="10"/>
                <w:lang w:eastAsia="zh-CN"/>
              </w:rPr>
              <w:t>PRACH coverage enhancements</w:t>
            </w:r>
          </w:p>
        </w:tc>
        <w:tc>
          <w:tcPr>
            <w:tcW w:w="0" w:type="auto"/>
            <w:shd w:val="clear" w:color="auto" w:fill="auto"/>
          </w:tcPr>
          <w:p w:rsidR="00E9498C" w:rsidRDefault="00B22441">
            <w:pPr>
              <w:rPr>
                <w:rFonts w:ascii="Arial" w:eastAsiaTheme="minorEastAsia" w:hAnsi="Arial" w:cs="Arial"/>
                <w:sz w:val="10"/>
                <w:szCs w:val="10"/>
                <w:lang w:eastAsia="zh-CN"/>
              </w:rPr>
            </w:pPr>
            <w:r>
              <w:rPr>
                <w:rFonts w:ascii="Arial" w:eastAsia="MS Mincho" w:hAnsi="Arial" w:cs="Arial"/>
                <w:sz w:val="10"/>
                <w:szCs w:val="10"/>
                <w:lang w:eastAsia="zh-CN"/>
              </w:rPr>
              <w:t xml:space="preserve">Support of transmitting a first repetition of the PRACH and a second repetition of the PRACH when a first or last symbol of the first repetition of the PRACH in a first slot is separated by less than </w:t>
            </w:r>
            <w:r>
              <w:rPr>
                <w:rFonts w:ascii="Arial" w:eastAsia="MS Mincho" w:hAnsi="Arial" w:cs="Arial"/>
                <w:i/>
                <w:sz w:val="10"/>
                <w:szCs w:val="10"/>
                <w:lang w:eastAsia="zh-CN"/>
              </w:rPr>
              <w:t>N</w:t>
            </w:r>
            <w:r>
              <w:rPr>
                <w:rFonts w:ascii="Arial" w:eastAsia="MS Mincho" w:hAnsi="Arial" w:cs="Arial"/>
                <w:sz w:val="10"/>
                <w:szCs w:val="10"/>
                <w:lang w:eastAsia="zh-CN"/>
              </w:rPr>
              <w:t xml:space="preserve"> symbols from the last or first symbol, respectively, of the second repetition of the PRACH in a second slot.</w:t>
            </w:r>
          </w:p>
        </w:tc>
        <w:tc>
          <w:tcPr>
            <w:tcW w:w="0" w:type="auto"/>
            <w:shd w:val="clear" w:color="auto" w:fill="auto"/>
          </w:tcPr>
          <w:p w:rsidR="00E9498C" w:rsidRDefault="00B22441">
            <w:pPr>
              <w:pStyle w:val="TAL"/>
              <w:rPr>
                <w:rFonts w:eastAsiaTheme="minorEastAsia" w:cs="Arial"/>
                <w:sz w:val="10"/>
                <w:szCs w:val="10"/>
                <w:lang w:eastAsia="zh-CN"/>
              </w:rPr>
            </w:pPr>
            <w:r>
              <w:rPr>
                <w:rFonts w:eastAsiaTheme="minorEastAsia" w:cs="Arial" w:hint="eastAsia"/>
                <w:sz w:val="10"/>
                <w:szCs w:val="10"/>
                <w:lang w:eastAsia="zh-CN"/>
              </w:rPr>
              <w:t>5</w:t>
            </w:r>
            <w:r>
              <w:rPr>
                <w:rFonts w:eastAsiaTheme="minorEastAsia" w:cs="Arial"/>
                <w:sz w:val="10"/>
                <w:szCs w:val="10"/>
                <w:lang w:eastAsia="zh-CN"/>
              </w:rPr>
              <w:t>4-1</w:t>
            </w:r>
          </w:p>
        </w:tc>
        <w:tc>
          <w:tcPr>
            <w:tcW w:w="0" w:type="auto"/>
            <w:shd w:val="clear" w:color="auto" w:fill="auto"/>
          </w:tcPr>
          <w:p w:rsidR="00E9498C" w:rsidRDefault="00B22441">
            <w:pPr>
              <w:pStyle w:val="TAL"/>
              <w:rPr>
                <w:rFonts w:cs="Arial"/>
                <w:sz w:val="10"/>
                <w:szCs w:val="10"/>
                <w:lang w:eastAsia="zh-CN"/>
              </w:rPr>
            </w:pPr>
            <w:r>
              <w:rPr>
                <w:rFonts w:cs="Arial"/>
                <w:sz w:val="10"/>
                <w:szCs w:val="10"/>
                <w:lang w:eastAsia="zh-CN"/>
              </w:rPr>
              <w:t>Yes</w:t>
            </w:r>
          </w:p>
        </w:tc>
        <w:tc>
          <w:tcPr>
            <w:tcW w:w="0" w:type="auto"/>
            <w:shd w:val="clear" w:color="auto" w:fill="auto"/>
          </w:tcPr>
          <w:p w:rsidR="00E9498C" w:rsidRDefault="00E9498C">
            <w:pPr>
              <w:pStyle w:val="TAL"/>
              <w:rPr>
                <w:rFonts w:cs="Arial"/>
                <w:sz w:val="10"/>
                <w:szCs w:val="10"/>
                <w:lang w:eastAsia="ja-JP"/>
              </w:rPr>
            </w:pPr>
          </w:p>
        </w:tc>
        <w:tc>
          <w:tcPr>
            <w:tcW w:w="0" w:type="auto"/>
            <w:shd w:val="clear" w:color="auto" w:fill="auto"/>
          </w:tcPr>
          <w:p w:rsidR="00E9498C" w:rsidRDefault="00B22441">
            <w:pPr>
              <w:pStyle w:val="TAL"/>
              <w:rPr>
                <w:rFonts w:cs="Arial"/>
                <w:sz w:val="10"/>
                <w:szCs w:val="10"/>
                <w:lang w:eastAsia="zh-CN"/>
              </w:rPr>
            </w:pPr>
            <w:r>
              <w:rPr>
                <w:rFonts w:eastAsia="MS Mincho" w:cs="Arial"/>
                <w:sz w:val="10"/>
                <w:szCs w:val="10"/>
                <w:lang w:eastAsia="zh-CN"/>
              </w:rPr>
              <w:t xml:space="preserve">UE doesn’t support transmitting a first repetition of the PRACH and a second repetition of the PRACH when a first or last symbol of the first repetition of the PRACH in a first slot is separated by less than </w:t>
            </w:r>
            <w:r>
              <w:rPr>
                <w:rFonts w:eastAsia="MS Mincho" w:cs="Arial"/>
                <w:i/>
                <w:sz w:val="10"/>
                <w:szCs w:val="10"/>
                <w:lang w:eastAsia="zh-CN"/>
              </w:rPr>
              <w:t>N</w:t>
            </w:r>
            <w:r>
              <w:rPr>
                <w:rFonts w:eastAsia="MS Mincho" w:cs="Arial"/>
                <w:sz w:val="10"/>
                <w:szCs w:val="10"/>
                <w:lang w:eastAsia="zh-CN"/>
              </w:rPr>
              <w:t xml:space="preserve"> symbols from the last or first symbol, respect</w:t>
            </w:r>
            <w:r>
              <w:rPr>
                <w:rFonts w:eastAsia="MS Mincho" w:cs="Arial"/>
                <w:sz w:val="10"/>
                <w:szCs w:val="10"/>
                <w:lang w:eastAsia="zh-CN"/>
              </w:rPr>
              <w:t>ively, of the second repetition of the PRACH in a second slot.</w:t>
            </w:r>
          </w:p>
        </w:tc>
        <w:tc>
          <w:tcPr>
            <w:tcW w:w="0" w:type="auto"/>
            <w:shd w:val="clear" w:color="auto" w:fill="auto"/>
          </w:tcPr>
          <w:p w:rsidR="00E9498C" w:rsidRDefault="00B22441">
            <w:pPr>
              <w:pStyle w:val="TAL"/>
              <w:rPr>
                <w:rFonts w:cs="Arial"/>
                <w:sz w:val="10"/>
                <w:szCs w:val="10"/>
                <w:lang w:eastAsia="zh-CN"/>
              </w:rPr>
            </w:pPr>
            <w:r>
              <w:rPr>
                <w:rFonts w:cs="Arial" w:hint="eastAsia"/>
                <w:sz w:val="10"/>
                <w:szCs w:val="10"/>
                <w:lang w:eastAsia="zh-CN"/>
              </w:rPr>
              <w:t>P</w:t>
            </w:r>
            <w:r>
              <w:rPr>
                <w:rFonts w:cs="Arial"/>
                <w:sz w:val="10"/>
                <w:szCs w:val="10"/>
                <w:lang w:eastAsia="zh-CN"/>
              </w:rPr>
              <w:t>er band</w:t>
            </w:r>
          </w:p>
        </w:tc>
        <w:tc>
          <w:tcPr>
            <w:tcW w:w="0" w:type="auto"/>
            <w:shd w:val="clear" w:color="auto" w:fill="auto"/>
          </w:tcPr>
          <w:p w:rsidR="00E9498C" w:rsidRDefault="00B22441">
            <w:pPr>
              <w:pStyle w:val="TAL"/>
              <w:rPr>
                <w:rFonts w:cs="Arial"/>
                <w:sz w:val="10"/>
                <w:szCs w:val="10"/>
                <w:lang w:eastAsia="ja-JP"/>
              </w:rPr>
            </w:pPr>
            <w:r>
              <w:rPr>
                <w:rFonts w:eastAsia="MS Mincho" w:cs="Arial"/>
                <w:sz w:val="10"/>
                <w:szCs w:val="10"/>
                <w:lang w:eastAsia="ja-JP"/>
              </w:rPr>
              <w:t>N/A</w:t>
            </w:r>
          </w:p>
        </w:tc>
        <w:tc>
          <w:tcPr>
            <w:tcW w:w="0" w:type="auto"/>
            <w:shd w:val="clear" w:color="auto" w:fill="auto"/>
          </w:tcPr>
          <w:p w:rsidR="00E9498C" w:rsidRDefault="00B22441">
            <w:pPr>
              <w:pStyle w:val="TAL"/>
              <w:rPr>
                <w:rFonts w:cs="Arial"/>
                <w:sz w:val="10"/>
                <w:szCs w:val="10"/>
                <w:lang w:eastAsia="ja-JP"/>
              </w:rPr>
            </w:pPr>
            <w:r>
              <w:rPr>
                <w:rFonts w:eastAsia="MS Mincho" w:cs="Arial"/>
                <w:sz w:val="10"/>
                <w:szCs w:val="10"/>
                <w:lang w:eastAsia="ja-JP"/>
              </w:rPr>
              <w:t>N/A</w:t>
            </w:r>
          </w:p>
        </w:tc>
        <w:tc>
          <w:tcPr>
            <w:tcW w:w="0" w:type="auto"/>
            <w:shd w:val="clear" w:color="auto" w:fill="auto"/>
          </w:tcPr>
          <w:p w:rsidR="00E9498C" w:rsidRDefault="00B22441">
            <w:pPr>
              <w:pStyle w:val="TAL"/>
              <w:rPr>
                <w:rFonts w:cs="Arial"/>
                <w:sz w:val="10"/>
                <w:szCs w:val="10"/>
                <w:lang w:eastAsia="ja-JP"/>
              </w:rPr>
            </w:pPr>
            <w:r>
              <w:rPr>
                <w:rFonts w:eastAsia="MS Mincho" w:cs="Arial"/>
                <w:sz w:val="10"/>
                <w:szCs w:val="10"/>
                <w:lang w:eastAsia="ja-JP"/>
              </w:rPr>
              <w:t>N/A</w:t>
            </w:r>
          </w:p>
        </w:tc>
        <w:tc>
          <w:tcPr>
            <w:tcW w:w="0" w:type="auto"/>
            <w:shd w:val="clear" w:color="auto" w:fill="auto"/>
          </w:tcPr>
          <w:p w:rsidR="00E9498C" w:rsidRDefault="00E9498C">
            <w:pPr>
              <w:pStyle w:val="TAL"/>
              <w:rPr>
                <w:rFonts w:cs="Arial"/>
                <w:sz w:val="10"/>
                <w:szCs w:val="10"/>
              </w:rPr>
            </w:pPr>
          </w:p>
        </w:tc>
        <w:tc>
          <w:tcPr>
            <w:tcW w:w="0" w:type="auto"/>
            <w:shd w:val="clear" w:color="auto" w:fill="auto"/>
          </w:tcPr>
          <w:p w:rsidR="00E9498C" w:rsidRDefault="00B22441">
            <w:pPr>
              <w:pStyle w:val="TAL"/>
              <w:rPr>
                <w:rFonts w:cs="Arial"/>
                <w:sz w:val="10"/>
                <w:szCs w:val="10"/>
                <w:lang w:eastAsia="ja-JP"/>
              </w:rPr>
            </w:pPr>
            <w:r>
              <w:rPr>
                <w:rFonts w:eastAsia="MS Mincho" w:cs="Arial"/>
                <w:sz w:val="10"/>
                <w:szCs w:val="10"/>
              </w:rPr>
              <w:t xml:space="preserve">Optional with capability </w:t>
            </w:r>
            <w:proofErr w:type="spellStart"/>
            <w:r>
              <w:rPr>
                <w:rFonts w:eastAsia="MS Mincho" w:cs="Arial"/>
                <w:sz w:val="10"/>
                <w:szCs w:val="10"/>
              </w:rPr>
              <w:t>signalling</w:t>
            </w:r>
            <w:proofErr w:type="spellEnd"/>
            <w:r>
              <w:rPr>
                <w:rFonts w:eastAsia="MS Mincho" w:cs="Arial"/>
                <w:sz w:val="10"/>
                <w:szCs w:val="10"/>
              </w:rPr>
              <w:t>.</w:t>
            </w:r>
          </w:p>
        </w:tc>
      </w:tr>
    </w:tbl>
    <w:p w:rsidR="00E9498C" w:rsidRDefault="00E9498C">
      <w:pPr>
        <w:rPr>
          <w:i/>
          <w:lang w:eastAsia="zh-CN"/>
        </w:rPr>
      </w:pPr>
    </w:p>
    <w:p w:rsidR="00E9498C" w:rsidRDefault="00B22441">
      <w:pPr>
        <w:rPr>
          <w:i/>
          <w:lang w:val="en-US" w:eastAsia="zh-CN"/>
        </w:rPr>
      </w:pPr>
      <w:r>
        <w:rPr>
          <w:b/>
          <w:i/>
          <w:lang w:val="en-US" w:eastAsia="zh-CN"/>
        </w:rPr>
        <w:t>Proposal 4:</w:t>
      </w:r>
      <w:r>
        <w:rPr>
          <w:i/>
          <w:lang w:val="en-US" w:eastAsia="zh-CN"/>
        </w:rPr>
        <w:t xml:space="preserve"> Remove the DCI format 0_3 from components of FG for dynamic waveform switching.</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5</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54-3b, </w:t>
      </w:r>
      <w:r>
        <w:rPr>
          <w:rFonts w:eastAsiaTheme="minorEastAsia"/>
          <w:i/>
          <w:lang w:val="en-US" w:eastAsia="zh-CN"/>
        </w:rPr>
        <w:t xml:space="preserve">up to 8 CCs per band is preferred </w:t>
      </w:r>
      <w:r>
        <w:rPr>
          <w:bCs/>
          <w:i/>
          <w:lang w:eastAsia="zh-CN"/>
        </w:rPr>
        <w:t>to support dynamic waveform switching for DCI format 0_1/0_2 for intra-band UL CA</w:t>
      </w:r>
      <w:r>
        <w:rPr>
          <w:rFonts w:eastAsiaTheme="minorEastAsia"/>
          <w:i/>
          <w:lang w:val="en-US" w:eastAsia="zh-CN"/>
        </w:rPr>
        <w:t>.</w:t>
      </w:r>
    </w:p>
    <w:p w:rsidR="00E9498C" w:rsidRDefault="00B22441">
      <w:pPr>
        <w:rPr>
          <w:iCs/>
          <w:lang w:val="en-US" w:eastAsia="zh-CN"/>
        </w:rPr>
      </w:pPr>
      <w:r>
        <w:rPr>
          <w:rFonts w:hint="eastAsia"/>
          <w:lang w:val="en-US" w:eastAsia="zh-CN"/>
        </w:rPr>
        <w:t>F</w:t>
      </w:r>
      <w:r>
        <w:rPr>
          <w:lang w:val="en-US" w:eastAsia="zh-CN"/>
        </w:rPr>
        <w:t>or FG 54-3a, the report type for FG of PHR enhancement for dynamic waveform switching is not determined. For simplicity, the report type o</w:t>
      </w:r>
      <w:r>
        <w:rPr>
          <w:lang w:val="en-US" w:eastAsia="zh-CN"/>
        </w:rPr>
        <w:t>f sub-FG 54-3a can follow the report type of prerequisite FG 54-3, i.e., the report type of FG 54-3a should be per Band.</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6</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FG</w:t>
      </w:r>
      <w:r>
        <w:rPr>
          <w:bCs/>
          <w:i/>
          <w:lang w:eastAsia="zh-CN"/>
        </w:rPr>
        <w:t xml:space="preserve">54-3a, </w:t>
      </w:r>
      <w:r>
        <w:rPr>
          <w:i/>
          <w:lang w:val="en-US" w:eastAsia="zh-CN"/>
        </w:rPr>
        <w:t>p</w:t>
      </w:r>
      <w:r>
        <w:rPr>
          <w:rFonts w:eastAsiaTheme="minorEastAsia"/>
          <w:i/>
          <w:lang w:val="en-US" w:eastAsia="zh-CN"/>
        </w:rPr>
        <w:t>er Band reporting should be supported.</w:t>
      </w:r>
    </w:p>
    <w:p w:rsidR="00E9498C" w:rsidRDefault="00B2244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7</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E9498C">
        <w:trPr>
          <w:trHeight w:val="1361"/>
        </w:trPr>
        <w:tc>
          <w:tcPr>
            <w:tcW w:w="96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lastRenderedPageBreak/>
              <w:t>Features</w:t>
            </w:r>
          </w:p>
        </w:tc>
        <w:tc>
          <w:tcPr>
            <w:tcW w:w="397"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 xml:space="preserve">the capability </w:t>
            </w:r>
            <w:proofErr w:type="spellStart"/>
            <w:r>
              <w:rPr>
                <w:rFonts w:cs="Arial"/>
                <w:color w:val="000000" w:themeColor="text1"/>
                <w:sz w:val="10"/>
                <w:szCs w:val="18"/>
              </w:rPr>
              <w:t>signalling</w:t>
            </w:r>
            <w:proofErr w:type="spellEnd"/>
            <w:r>
              <w:rPr>
                <w:rFonts w:cs="Arial"/>
                <w:color w:val="000000" w:themeColor="text1"/>
                <w:sz w:val="10"/>
                <w:szCs w:val="18"/>
              </w:rPr>
              <w:t xml:space="preserve"> exchange between</w:t>
            </w:r>
            <w:r>
              <w:rPr>
                <w:rFonts w:cs="Arial"/>
                <w:color w:val="000000" w:themeColor="text1"/>
                <w:sz w:val="10"/>
                <w:szCs w:val="18"/>
              </w:rPr>
              <w:t xml:space="preserve">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832" w:type="dxa"/>
            <w:tcBorders>
              <w:top w:val="single" w:sz="4" w:space="0" w:color="auto"/>
              <w:left w:val="single" w:sz="4" w:space="0" w:color="auto"/>
              <w:bottom w:val="single" w:sz="4" w:space="0" w:color="auto"/>
              <w:right w:val="single" w:sz="4" w:space="0" w:color="auto"/>
            </w:tcBorders>
          </w:tcPr>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rsidR="00E9498C" w:rsidRDefault="00B2244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Need of FDD/TDD differenti</w:t>
            </w:r>
            <w:r>
              <w:rPr>
                <w:rFonts w:cs="Arial"/>
                <w:color w:val="000000" w:themeColor="text1"/>
                <w:sz w:val="10"/>
                <w:szCs w:val="18"/>
              </w:rPr>
              <w:t>ation</w:t>
            </w:r>
          </w:p>
        </w:tc>
        <w:tc>
          <w:tcPr>
            <w:tcW w:w="454"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E9498C" w:rsidRDefault="00B22441">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rPr>
              <w:t>Dynamic waveform switching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Theme="majorHAnsi" w:hAnsiTheme="majorHAnsi" w:cstheme="majorHAnsi"/>
                <w:color w:val="000000" w:themeColor="text1"/>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highlight w:val="yellow"/>
              </w:rPr>
              <w:t>]</w:t>
            </w:r>
            <w:r>
              <w:rPr>
                <w:sz w:val="10"/>
                <w:szCs w:val="10"/>
              </w:rPr>
              <w:t xml:space="preserve"> </w:t>
            </w:r>
            <w:r>
              <w:rPr>
                <w:rFonts w:ascii="Arial" w:hAnsi="Arial" w:cs="Arial"/>
                <w:sz w:val="10"/>
                <w:szCs w:val="10"/>
              </w:rPr>
              <w:t>in a band when</w:t>
            </w:r>
            <w:r>
              <w:rPr>
                <w:rFonts w:ascii="Arial" w:hAnsi="Arial" w:cs="Arial"/>
                <w:sz w:val="10"/>
                <w:szCs w:val="10"/>
              </w:rPr>
              <w:t xml:space="preserve"> configured with 1 UL carrier.</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eastAsia="MS Mincho" w:hAnsiTheme="majorHAnsi" w:cstheme="majorHAnsi"/>
                <w:color w:val="000000" w:themeColor="text1"/>
                <w:sz w:val="10"/>
                <w:szCs w:val="10"/>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Arial"/>
                <w:sz w:val="10"/>
                <w:szCs w:val="10"/>
                <w:lang w:eastAsia="zh-CN"/>
              </w:rPr>
              <w:t xml:space="preserve">Dynamic waveform switching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sz w:val="10"/>
                <w:szCs w:val="10"/>
                <w:lang w:eastAsia="zh-CN"/>
              </w:rPr>
              <w:t>If UE supporting this FG supports FG 11-1, the UE supports FG 54-3 with DCI format 0_2</w:t>
            </w:r>
          </w:p>
          <w:p w:rsidR="00E9498C" w:rsidRDefault="00E9498C">
            <w:pPr>
              <w:pStyle w:val="TAL"/>
              <w:rPr>
                <w:rFonts w:cs="Arial"/>
                <w:sz w:val="10"/>
                <w:szCs w:val="10"/>
                <w:lang w:eastAsia="zh-CN"/>
              </w:rPr>
            </w:pPr>
          </w:p>
          <w:p w:rsidR="00E9498C" w:rsidRDefault="00B22441">
            <w:pPr>
              <w:pStyle w:val="TAL"/>
              <w:rPr>
                <w:rFonts w:cs="Arial"/>
                <w:sz w:val="10"/>
                <w:szCs w:val="10"/>
                <w:lang w:eastAsia="zh-CN"/>
              </w:rPr>
            </w:pPr>
            <w:r>
              <w:rPr>
                <w:rFonts w:cs="Arial"/>
                <w:sz w:val="10"/>
                <w:szCs w:val="10"/>
                <w:lang w:eastAsia="zh-CN"/>
              </w:rPr>
              <w:t xml:space="preserve">If UE supporting this FG supports FG 10-17, the UE supports FG </w:t>
            </w:r>
            <w:r>
              <w:rPr>
                <w:rFonts w:cs="Arial"/>
                <w:sz w:val="10"/>
                <w:szCs w:val="10"/>
                <w:lang w:eastAsia="zh-CN"/>
              </w:rPr>
              <w:t>54-3 with multi-PUSCH scheduling</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Optional with capability signaling.</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eastAsia="MS Mincho" w:cs="Arial"/>
                <w:sz w:val="10"/>
                <w:szCs w:val="10"/>
              </w:rPr>
              <w:t>PHR enhancement for</w:t>
            </w:r>
            <w:r>
              <w:rPr>
                <w:rFonts w:eastAsia="MS Mincho"/>
                <w:sz w:val="10"/>
                <w:szCs w:val="10"/>
              </w:rPr>
              <w:t xml:space="preserve"> d</w:t>
            </w:r>
            <w:r>
              <w:rPr>
                <w:rFonts w:eastAsia="MS Mincho" w:cs="Arial"/>
                <w:sz w:val="10"/>
                <w:szCs w:val="10"/>
              </w:rPr>
              <w:t xml:space="preserve">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Theme="majorHAnsi" w:hAnsiTheme="majorHAnsi" w:cstheme="majorHAnsi"/>
                <w:color w:val="000000" w:themeColor="text1"/>
                <w:sz w:val="10"/>
                <w:szCs w:val="10"/>
              </w:rPr>
            </w:pPr>
            <w:r>
              <w:rPr>
                <w:rFonts w:ascii="Arial" w:hAnsi="Arial" w:cs="Arial"/>
                <w:sz w:val="10"/>
                <w:szCs w:val="10"/>
              </w:rPr>
              <w:t>Reporting of power headroom information for an assumed PUSCH using target waveform different from waveform of actual</w:t>
            </w:r>
            <w:r>
              <w:rPr>
                <w:rFonts w:ascii="Arial" w:hAnsi="Arial" w:cs="Arial"/>
                <w:sz w:val="10"/>
                <w:szCs w:val="10"/>
              </w:rPr>
              <w:t xml:space="preserve"> 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Y</w:t>
            </w:r>
            <w:r>
              <w:rPr>
                <w:rFonts w:cs="Arial"/>
                <w:sz w:val="10"/>
                <w:szCs w:val="10"/>
                <w:lang w:eastAsia="zh-CN"/>
              </w:rPr>
              <w:t>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N</w:t>
            </w:r>
            <w:r>
              <w:rPr>
                <w:rFonts w:cs="Arial"/>
                <w:sz w:val="10"/>
                <w:szCs w:val="10"/>
                <w:lang w:eastAsia="zh-CN"/>
              </w:rPr>
              <w:t>/A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u w:val="single"/>
                <w:lang w:eastAsia="zh-CN"/>
              </w:rPr>
            </w:pPr>
            <w:r>
              <w:rPr>
                <w:rFonts w:cstheme="majorHAnsi"/>
                <w:color w:val="FF0000"/>
                <w:sz w:val="10"/>
                <w:szCs w:val="10"/>
                <w:u w:val="single"/>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FF0000"/>
                <w:sz w:val="10"/>
                <w:szCs w:val="10"/>
                <w:u w:val="single"/>
                <w:lang w:eastAsia="ja-JP"/>
              </w:rPr>
            </w:pPr>
            <w:r>
              <w:rPr>
                <w:rFonts w:eastAsia="MS Mincho" w:cs="Arial"/>
                <w:color w:val="FF0000"/>
                <w:sz w:val="10"/>
                <w:szCs w:val="10"/>
                <w:u w:val="single"/>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lang w:eastAsia="ja-JP"/>
              </w:rPr>
            </w:pPr>
            <w:r>
              <w:rPr>
                <w:rFonts w:eastAsia="MS Mincho" w:cs="Arial"/>
                <w:sz w:val="10"/>
                <w:szCs w:val="10"/>
                <w:lang w:eastAsia="ja-JP"/>
              </w:rPr>
              <w:t>Optional with capability signaling.</w:t>
            </w:r>
          </w:p>
        </w:tc>
      </w:tr>
      <w:tr w:rsidR="00E9498C">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rPr>
            </w:pPr>
            <w:r>
              <w:rPr>
                <w:rFonts w:eastAsia="MS Mincho" w:cs="Arial"/>
                <w:sz w:val="10"/>
                <w:szCs w:val="10"/>
              </w:rPr>
              <w:t>Dynamic waveform switching for intra-band UL CA</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rPr>
              <w:t xml:space="preserve"> for intra-band UL CA </w:t>
            </w:r>
            <w:r>
              <w:rPr>
                <w:rFonts w:ascii="Arial" w:hAnsi="Arial" w:cs="Arial"/>
                <w:strike/>
                <w:sz w:val="10"/>
                <w:szCs w:val="10"/>
              </w:rPr>
              <w:t>[</w:t>
            </w:r>
            <w:r>
              <w:rPr>
                <w:rFonts w:ascii="Arial" w:hAnsi="Arial" w:cs="Arial"/>
                <w:sz w:val="10"/>
                <w:szCs w:val="10"/>
              </w:rPr>
              <w:t xml:space="preserve">with up to </w:t>
            </w:r>
            <w:r>
              <w:rPr>
                <w:rFonts w:ascii="Arial" w:hAnsi="Arial" w:cs="Arial"/>
                <w:color w:val="FF0000"/>
                <w:sz w:val="10"/>
                <w:szCs w:val="10"/>
                <w:u w:val="single"/>
              </w:rPr>
              <w:t>8</w:t>
            </w:r>
            <w:r>
              <w:rPr>
                <w:rFonts w:ascii="Arial" w:hAnsi="Arial" w:cs="Arial"/>
                <w:strike/>
                <w:sz w:val="10"/>
                <w:szCs w:val="10"/>
              </w:rPr>
              <w:t>X</w:t>
            </w:r>
            <w:r>
              <w:rPr>
                <w:rFonts w:ascii="Arial" w:hAnsi="Arial" w:cs="Arial"/>
                <w:sz w:val="10"/>
                <w:szCs w:val="10"/>
              </w:rPr>
              <w:t xml:space="preserve"> CCs in the band</w:t>
            </w:r>
            <w:r>
              <w:rPr>
                <w:rFonts w:ascii="Arial" w:hAnsi="Arial" w:cs="Arial"/>
                <w:strike/>
                <w:sz w:val="10"/>
                <w:szCs w:val="10"/>
              </w:rPr>
              <w:t>]</w:t>
            </w:r>
            <w:r>
              <w:rPr>
                <w:rFonts w:ascii="Arial" w:hAnsi="Arial" w:cs="Arial"/>
                <w:sz w:val="10"/>
                <w:szCs w:val="10"/>
              </w:rPr>
              <w:t>.</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cs="Arial"/>
                <w:sz w:val="10"/>
                <w:szCs w:val="10"/>
                <w:lang w:eastAsia="zh-CN"/>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9498C" w:rsidRDefault="00E9498C">
            <w:pPr>
              <w:pStyle w:val="TAL"/>
              <w:rPr>
                <w:rFonts w:asciiTheme="majorHAnsi" w:hAnsiTheme="majorHAnsi" w:cstheme="majorHAnsi"/>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zh-CN"/>
              </w:rPr>
            </w:pPr>
            <w:r>
              <w:rPr>
                <w:rFonts w:cstheme="majorHAnsi"/>
                <w:color w:val="000000" w:themeColor="text1"/>
                <w:sz w:val="10"/>
                <w:szCs w:val="10"/>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asciiTheme="majorHAnsi" w:hAnsiTheme="majorHAnsi" w:cstheme="majorHAnsi"/>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cs="Arial"/>
                <w:strike/>
                <w:sz w:val="10"/>
                <w:szCs w:val="10"/>
                <w:highlight w:val="yellow"/>
                <w:lang w:eastAsia="zh-CN"/>
              </w:rPr>
            </w:pPr>
            <w:r>
              <w:rPr>
                <w:rFonts w:cs="Arial"/>
                <w:strike/>
                <w:sz w:val="10"/>
                <w:szCs w:val="10"/>
                <w:highlight w:val="yellow"/>
                <w:lang w:eastAsia="zh-CN"/>
              </w:rPr>
              <w:t>[Candidate value for X {FFS}]</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E9498C" w:rsidRDefault="00B22441">
            <w:pPr>
              <w:pStyle w:val="TAL"/>
              <w:rPr>
                <w:rFonts w:eastAsia="MS Mincho" w:cs="Arial"/>
                <w:sz w:val="10"/>
                <w:szCs w:val="10"/>
                <w:lang w:eastAsia="ja-JP"/>
              </w:rPr>
            </w:pPr>
            <w:r>
              <w:rPr>
                <w:rFonts w:eastAsia="MS Mincho" w:cs="Arial"/>
                <w:sz w:val="10"/>
                <w:szCs w:val="10"/>
                <w:lang w:eastAsia="ja-JP"/>
              </w:rPr>
              <w:t>Optional with capability signaling.</w:t>
            </w:r>
          </w:p>
        </w:tc>
      </w:tr>
    </w:tbl>
    <w:p w:rsidR="00E9498C" w:rsidRDefault="00E9498C">
      <w:pPr>
        <w:spacing w:beforeLines="50" w:before="120"/>
        <w:rPr>
          <w:i/>
          <w:lang w:val="en-US" w:eastAsia="zh-CN"/>
        </w:rPr>
      </w:pPr>
    </w:p>
    <w:p w:rsidR="00E9498C" w:rsidRDefault="00B22441">
      <w:pPr>
        <w:pStyle w:val="1"/>
        <w:spacing w:afterLines="50"/>
        <w:rPr>
          <w:lang w:val="en-US"/>
        </w:rPr>
      </w:pPr>
      <w:r>
        <w:rPr>
          <w:rFonts w:hint="eastAsia"/>
          <w:lang w:val="en-US"/>
        </w:rPr>
        <w:t>Reference</w:t>
      </w:r>
    </w:p>
    <w:p w:rsidR="00E9498C" w:rsidRDefault="00B22441">
      <w:pPr>
        <w:pStyle w:val="afa"/>
        <w:widowControl w:val="0"/>
        <w:numPr>
          <w:ilvl w:val="0"/>
          <w:numId w:val="17"/>
        </w:numPr>
        <w:snapToGrid w:val="0"/>
        <w:spacing w:before="0" w:beforeAutospacing="0" w:after="60" w:afterAutospacing="0" w:line="240" w:lineRule="auto"/>
        <w:rPr>
          <w:kern w:val="2"/>
          <w:sz w:val="20"/>
          <w:szCs w:val="21"/>
          <w:lang w:eastAsia="zh-CN" w:bidi="ar"/>
        </w:rPr>
      </w:pPr>
      <w:r>
        <w:rPr>
          <w:kern w:val="2"/>
          <w:sz w:val="20"/>
          <w:szCs w:val="21"/>
          <w:lang w:eastAsia="zh-CN" w:bidi="ar"/>
        </w:rPr>
        <w:t>3GPP RAN1#115, R1-2312572, Updated RAN1 UE features list for Rel-18 NR after RAN1#115, Moderators (AT&amp;T, NTT DOCOMO, INC.)</w:t>
      </w:r>
    </w:p>
    <w:p w:rsidR="00E9498C" w:rsidRDefault="00B22441">
      <w:pPr>
        <w:pStyle w:val="afa"/>
        <w:widowControl w:val="0"/>
        <w:numPr>
          <w:ilvl w:val="0"/>
          <w:numId w:val="17"/>
        </w:numPr>
        <w:snapToGrid w:val="0"/>
        <w:spacing w:before="0" w:beforeAutospacing="0" w:after="60" w:afterAutospacing="0" w:line="240" w:lineRule="auto"/>
        <w:rPr>
          <w:kern w:val="2"/>
          <w:sz w:val="20"/>
          <w:szCs w:val="21"/>
          <w:lang w:eastAsia="zh-CN" w:bidi="ar"/>
        </w:rPr>
      </w:pPr>
      <w:r>
        <w:rPr>
          <w:kern w:val="2"/>
          <w:sz w:val="20"/>
          <w:szCs w:val="21"/>
          <w:lang w:eastAsia="zh-CN" w:bidi="ar"/>
        </w:rPr>
        <w:t>R1-2312586 Summary on UE features for coverage enhancements</w:t>
      </w:r>
      <w:r>
        <w:rPr>
          <w:rFonts w:hint="eastAsia"/>
          <w:kern w:val="2"/>
          <w:sz w:val="20"/>
          <w:szCs w:val="21"/>
          <w:lang w:eastAsia="zh-CN" w:bidi="ar"/>
        </w:rPr>
        <w:t xml:space="preserve">, </w:t>
      </w:r>
      <w:r>
        <w:rPr>
          <w:kern w:val="2"/>
          <w:sz w:val="20"/>
          <w:szCs w:val="21"/>
          <w:lang w:eastAsia="zh-CN" w:bidi="ar"/>
        </w:rPr>
        <w:t>Ad-Hoc Chair (NTT DOCOMO)</w:t>
      </w:r>
      <w:r>
        <w:rPr>
          <w:rFonts w:hint="eastAsia"/>
          <w:kern w:val="2"/>
          <w:sz w:val="20"/>
          <w:szCs w:val="21"/>
          <w:lang w:eastAsia="zh-CN" w:bidi="ar"/>
        </w:rPr>
        <w:t xml:space="preserve">. </w:t>
      </w:r>
    </w:p>
    <w:p w:rsidR="00E9498C" w:rsidRDefault="00B22441">
      <w:pPr>
        <w:pStyle w:val="afa"/>
        <w:widowControl w:val="0"/>
        <w:numPr>
          <w:ilvl w:val="0"/>
          <w:numId w:val="17"/>
        </w:numPr>
        <w:snapToGrid w:val="0"/>
        <w:spacing w:before="0" w:beforeAutospacing="0" w:after="60" w:afterAutospacing="0" w:line="240" w:lineRule="auto"/>
        <w:rPr>
          <w:kern w:val="2"/>
          <w:sz w:val="20"/>
          <w:szCs w:val="21"/>
          <w:lang w:eastAsia="zh-CN" w:bidi="ar"/>
        </w:rPr>
      </w:pPr>
      <w:r>
        <w:rPr>
          <w:kern w:val="2"/>
          <w:sz w:val="20"/>
          <w:szCs w:val="21"/>
          <w:lang w:eastAsia="zh-CN" w:bidi="ar"/>
        </w:rPr>
        <w:t>R1-2312723 Maintenance of further NR coverage enhancements, Samsung</w:t>
      </w:r>
      <w:bookmarkEnd w:id="1"/>
    </w:p>
    <w:sectPr w:rsidR="00E9498C">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441" w:rsidRDefault="00B22441">
      <w:pPr>
        <w:spacing w:after="0"/>
      </w:pPr>
      <w:r>
        <w:separator/>
      </w:r>
    </w:p>
  </w:endnote>
  <w:endnote w:type="continuationSeparator" w:id="0">
    <w:p w:rsidR="00B22441" w:rsidRDefault="00B224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E9498C" w:rsidRDefault="00B22441">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7</w:t>
            </w:r>
            <w:r>
              <w:rPr>
                <w:b/>
                <w:bCs/>
                <w:sz w:val="16"/>
                <w:szCs w:val="24"/>
              </w:rPr>
              <w:fldChar w:fldCharType="end"/>
            </w:r>
          </w:p>
        </w:sdtContent>
      </w:sdt>
    </w:sdtContent>
  </w:sdt>
  <w:p w:rsidR="00E9498C" w:rsidRDefault="00E9498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441" w:rsidRDefault="00B22441">
      <w:pPr>
        <w:spacing w:after="0"/>
      </w:pPr>
      <w:r>
        <w:separator/>
      </w:r>
    </w:p>
  </w:footnote>
  <w:footnote w:type="continuationSeparator" w:id="0">
    <w:p w:rsidR="00B22441" w:rsidRDefault="00B224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92344A"/>
    <w:multiLevelType w:val="multilevel"/>
    <w:tmpl w:val="199234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2910F34"/>
    <w:multiLevelType w:val="multilevel"/>
    <w:tmpl w:val="3291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032E42"/>
    <w:multiLevelType w:val="multilevel"/>
    <w:tmpl w:val="3B032E42"/>
    <w:lvl w:ilvl="0">
      <w:numFmt w:val="bullet"/>
      <w:lvlText w:val="-"/>
      <w:lvlJc w:val="left"/>
      <w:pPr>
        <w:ind w:left="360" w:hanging="360"/>
      </w:pPr>
      <w:rPr>
        <w:rFonts w:ascii="Arial" w:eastAsia="MS Mincho" w:hAnsi="Arial" w:cs="Arial" w:hint="default"/>
      </w:rPr>
    </w:lvl>
    <w:lvl w:ilvl="1">
      <w:start w:val="1"/>
      <w:numFmt w:val="bullet"/>
      <w:pStyle w:val="AgreementOnLine"/>
      <w:lvlText w:val=""/>
      <w:lvlJc w:val="left"/>
      <w:pPr>
        <w:ind w:left="-179" w:hanging="360"/>
      </w:pPr>
      <w:rPr>
        <w:rFonts w:ascii="Symbol" w:hAnsi="Symbol" w:hint="default"/>
        <w:b/>
      </w:rPr>
    </w:lvl>
    <w:lvl w:ilvl="2">
      <w:start w:val="1"/>
      <w:numFmt w:val="bullet"/>
      <w:lvlText w:val=""/>
      <w:lvlJc w:val="left"/>
      <w:pPr>
        <w:ind w:left="541" w:hanging="360"/>
      </w:pPr>
      <w:rPr>
        <w:rFonts w:ascii="Wingdings" w:hAnsi="Wingdings" w:hint="default"/>
      </w:rPr>
    </w:lvl>
    <w:lvl w:ilvl="3">
      <w:start w:val="1"/>
      <w:numFmt w:val="bullet"/>
      <w:lvlText w:val=""/>
      <w:lvlJc w:val="left"/>
      <w:pPr>
        <w:ind w:left="1261" w:hanging="360"/>
      </w:pPr>
      <w:rPr>
        <w:rFonts w:ascii="Symbol" w:hAnsi="Symbol" w:hint="default"/>
      </w:rPr>
    </w:lvl>
    <w:lvl w:ilvl="4">
      <w:start w:val="1"/>
      <w:numFmt w:val="bullet"/>
      <w:lvlText w:val="o"/>
      <w:lvlJc w:val="left"/>
      <w:pPr>
        <w:ind w:left="1981" w:hanging="360"/>
      </w:pPr>
      <w:rPr>
        <w:rFonts w:ascii="Courier New" w:hAnsi="Courier New" w:cs="Courier New" w:hint="default"/>
      </w:rPr>
    </w:lvl>
    <w:lvl w:ilvl="5">
      <w:start w:val="1"/>
      <w:numFmt w:val="bullet"/>
      <w:lvlText w:val=""/>
      <w:lvlJc w:val="left"/>
      <w:pPr>
        <w:ind w:left="2701" w:hanging="360"/>
      </w:pPr>
      <w:rPr>
        <w:rFonts w:ascii="Wingdings" w:hAnsi="Wingdings" w:hint="default"/>
      </w:rPr>
    </w:lvl>
    <w:lvl w:ilvl="6">
      <w:start w:val="1"/>
      <w:numFmt w:val="bullet"/>
      <w:lvlText w:val=""/>
      <w:lvlJc w:val="left"/>
      <w:pPr>
        <w:ind w:left="3421" w:hanging="360"/>
      </w:pPr>
      <w:rPr>
        <w:rFonts w:ascii="Symbol" w:hAnsi="Symbol" w:hint="default"/>
      </w:rPr>
    </w:lvl>
    <w:lvl w:ilvl="7">
      <w:start w:val="1"/>
      <w:numFmt w:val="bullet"/>
      <w:lvlText w:val="o"/>
      <w:lvlJc w:val="left"/>
      <w:pPr>
        <w:ind w:left="4141" w:hanging="360"/>
      </w:pPr>
      <w:rPr>
        <w:rFonts w:ascii="Courier New" w:hAnsi="Courier New" w:cs="Courier New" w:hint="default"/>
      </w:rPr>
    </w:lvl>
    <w:lvl w:ilvl="8">
      <w:start w:val="1"/>
      <w:numFmt w:val="bullet"/>
      <w:lvlText w:val=""/>
      <w:lvlJc w:val="left"/>
      <w:pPr>
        <w:ind w:left="4861" w:hanging="36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3"/>
  </w:num>
  <w:num w:numId="3">
    <w:abstractNumId w:val="10"/>
  </w:num>
  <w:num w:numId="4">
    <w:abstractNumId w:val="11"/>
  </w:num>
  <w:num w:numId="5">
    <w:abstractNumId w:val="4"/>
  </w:num>
  <w:num w:numId="6">
    <w:abstractNumId w:val="2"/>
  </w:num>
  <w:num w:numId="7">
    <w:abstractNumId w:val="5"/>
  </w:num>
  <w:num w:numId="8">
    <w:abstractNumId w:val="16"/>
  </w:num>
  <w:num w:numId="9">
    <w:abstractNumId w:val="12"/>
  </w:num>
  <w:num w:numId="10">
    <w:abstractNumId w:val="7"/>
  </w:num>
  <w:num w:numId="11">
    <w:abstractNumId w:val="15"/>
  </w:num>
  <w:num w:numId="12">
    <w:abstractNumId w:val="14"/>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3"/>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67A5"/>
    <w:rsid w:val="00017517"/>
    <w:rsid w:val="00017FEB"/>
    <w:rsid w:val="000210CE"/>
    <w:rsid w:val="0002618D"/>
    <w:rsid w:val="00026559"/>
    <w:rsid w:val="00032DB5"/>
    <w:rsid w:val="00046A52"/>
    <w:rsid w:val="0005544A"/>
    <w:rsid w:val="00060FE7"/>
    <w:rsid w:val="00063445"/>
    <w:rsid w:val="000641E1"/>
    <w:rsid w:val="00070F3E"/>
    <w:rsid w:val="000776DC"/>
    <w:rsid w:val="000954E6"/>
    <w:rsid w:val="000A26BD"/>
    <w:rsid w:val="000A548C"/>
    <w:rsid w:val="000A5792"/>
    <w:rsid w:val="000A5F9B"/>
    <w:rsid w:val="000B6B01"/>
    <w:rsid w:val="000C3135"/>
    <w:rsid w:val="000D3933"/>
    <w:rsid w:val="000D60BA"/>
    <w:rsid w:val="000E037D"/>
    <w:rsid w:val="000E5382"/>
    <w:rsid w:val="000E7BD9"/>
    <w:rsid w:val="000F040B"/>
    <w:rsid w:val="000F1633"/>
    <w:rsid w:val="000F2AB5"/>
    <w:rsid w:val="001037EB"/>
    <w:rsid w:val="001215BB"/>
    <w:rsid w:val="00130F91"/>
    <w:rsid w:val="001331A9"/>
    <w:rsid w:val="0015221F"/>
    <w:rsid w:val="00155E27"/>
    <w:rsid w:val="001607EE"/>
    <w:rsid w:val="00162D5A"/>
    <w:rsid w:val="001649EE"/>
    <w:rsid w:val="00170FE5"/>
    <w:rsid w:val="001759C8"/>
    <w:rsid w:val="001764D7"/>
    <w:rsid w:val="00177CAF"/>
    <w:rsid w:val="001801A4"/>
    <w:rsid w:val="00181968"/>
    <w:rsid w:val="001839F3"/>
    <w:rsid w:val="001844A0"/>
    <w:rsid w:val="00192775"/>
    <w:rsid w:val="00195B42"/>
    <w:rsid w:val="00195DAA"/>
    <w:rsid w:val="001A021B"/>
    <w:rsid w:val="001A1B5B"/>
    <w:rsid w:val="001A4C3D"/>
    <w:rsid w:val="001A5D72"/>
    <w:rsid w:val="001B18DD"/>
    <w:rsid w:val="001B6A64"/>
    <w:rsid w:val="001C3BF2"/>
    <w:rsid w:val="001C7DE1"/>
    <w:rsid w:val="001D3C86"/>
    <w:rsid w:val="001D4E3E"/>
    <w:rsid w:val="001D5B86"/>
    <w:rsid w:val="001E1741"/>
    <w:rsid w:val="001E2C04"/>
    <w:rsid w:val="001E2D01"/>
    <w:rsid w:val="0020058A"/>
    <w:rsid w:val="002013CE"/>
    <w:rsid w:val="0020269C"/>
    <w:rsid w:val="002034E0"/>
    <w:rsid w:val="00203AFE"/>
    <w:rsid w:val="0020662E"/>
    <w:rsid w:val="00214B60"/>
    <w:rsid w:val="00217ABD"/>
    <w:rsid w:val="00220FC6"/>
    <w:rsid w:val="00222A2E"/>
    <w:rsid w:val="00263EB7"/>
    <w:rsid w:val="00267D65"/>
    <w:rsid w:val="0027445E"/>
    <w:rsid w:val="002904DA"/>
    <w:rsid w:val="002B21B5"/>
    <w:rsid w:val="002B3D55"/>
    <w:rsid w:val="002C1FFA"/>
    <w:rsid w:val="002C6359"/>
    <w:rsid w:val="002C711D"/>
    <w:rsid w:val="002D0B7E"/>
    <w:rsid w:val="002D6A9A"/>
    <w:rsid w:val="00311D72"/>
    <w:rsid w:val="00316861"/>
    <w:rsid w:val="00322762"/>
    <w:rsid w:val="00324023"/>
    <w:rsid w:val="003264B7"/>
    <w:rsid w:val="00333163"/>
    <w:rsid w:val="003368C5"/>
    <w:rsid w:val="0034301E"/>
    <w:rsid w:val="0034512F"/>
    <w:rsid w:val="003526C9"/>
    <w:rsid w:val="003574C8"/>
    <w:rsid w:val="00366640"/>
    <w:rsid w:val="00385F0E"/>
    <w:rsid w:val="00391338"/>
    <w:rsid w:val="003A0A10"/>
    <w:rsid w:val="003A4F2B"/>
    <w:rsid w:val="003B265D"/>
    <w:rsid w:val="003B7E9D"/>
    <w:rsid w:val="003D332B"/>
    <w:rsid w:val="003D3B04"/>
    <w:rsid w:val="003D434B"/>
    <w:rsid w:val="003D4E84"/>
    <w:rsid w:val="003D7710"/>
    <w:rsid w:val="003E1354"/>
    <w:rsid w:val="003E7210"/>
    <w:rsid w:val="003F293E"/>
    <w:rsid w:val="003F66FA"/>
    <w:rsid w:val="00404253"/>
    <w:rsid w:val="00410D76"/>
    <w:rsid w:val="00412A46"/>
    <w:rsid w:val="004319F4"/>
    <w:rsid w:val="00436436"/>
    <w:rsid w:val="00441A41"/>
    <w:rsid w:val="00443818"/>
    <w:rsid w:val="00455773"/>
    <w:rsid w:val="00457586"/>
    <w:rsid w:val="004607C3"/>
    <w:rsid w:val="00472871"/>
    <w:rsid w:val="004733D5"/>
    <w:rsid w:val="004773E8"/>
    <w:rsid w:val="00487603"/>
    <w:rsid w:val="00490A66"/>
    <w:rsid w:val="0049502F"/>
    <w:rsid w:val="004953DB"/>
    <w:rsid w:val="004A29A5"/>
    <w:rsid w:val="004A61B6"/>
    <w:rsid w:val="004A6461"/>
    <w:rsid w:val="004A7E15"/>
    <w:rsid w:val="004B0D86"/>
    <w:rsid w:val="004B137E"/>
    <w:rsid w:val="004B14CB"/>
    <w:rsid w:val="004B16DE"/>
    <w:rsid w:val="004B611C"/>
    <w:rsid w:val="004C3D24"/>
    <w:rsid w:val="004D0270"/>
    <w:rsid w:val="004D2BA6"/>
    <w:rsid w:val="004E0805"/>
    <w:rsid w:val="004E0EE6"/>
    <w:rsid w:val="004E11DE"/>
    <w:rsid w:val="004E259B"/>
    <w:rsid w:val="004E5D34"/>
    <w:rsid w:val="004E6CF7"/>
    <w:rsid w:val="004F3698"/>
    <w:rsid w:val="004F3810"/>
    <w:rsid w:val="00507B44"/>
    <w:rsid w:val="0051371F"/>
    <w:rsid w:val="0051506D"/>
    <w:rsid w:val="00520437"/>
    <w:rsid w:val="00524950"/>
    <w:rsid w:val="0053095B"/>
    <w:rsid w:val="005311A7"/>
    <w:rsid w:val="00531A4F"/>
    <w:rsid w:val="00535371"/>
    <w:rsid w:val="005446B1"/>
    <w:rsid w:val="00546597"/>
    <w:rsid w:val="00552556"/>
    <w:rsid w:val="00552DF9"/>
    <w:rsid w:val="00564D3B"/>
    <w:rsid w:val="00580460"/>
    <w:rsid w:val="005847E3"/>
    <w:rsid w:val="00587649"/>
    <w:rsid w:val="005926FA"/>
    <w:rsid w:val="00596028"/>
    <w:rsid w:val="005A5996"/>
    <w:rsid w:val="005C514C"/>
    <w:rsid w:val="005D20F1"/>
    <w:rsid w:val="005D4821"/>
    <w:rsid w:val="005E23BD"/>
    <w:rsid w:val="005E33EA"/>
    <w:rsid w:val="005E41C5"/>
    <w:rsid w:val="005E719D"/>
    <w:rsid w:val="005F0F8A"/>
    <w:rsid w:val="005F4718"/>
    <w:rsid w:val="006017DD"/>
    <w:rsid w:val="006035C5"/>
    <w:rsid w:val="006041B9"/>
    <w:rsid w:val="00611EA4"/>
    <w:rsid w:val="00634DD9"/>
    <w:rsid w:val="00635EFA"/>
    <w:rsid w:val="006434BB"/>
    <w:rsid w:val="00645EDB"/>
    <w:rsid w:val="0065039A"/>
    <w:rsid w:val="006515DE"/>
    <w:rsid w:val="00651E5D"/>
    <w:rsid w:val="00652435"/>
    <w:rsid w:val="006632A9"/>
    <w:rsid w:val="00670B87"/>
    <w:rsid w:val="00673C4E"/>
    <w:rsid w:val="00674B19"/>
    <w:rsid w:val="00681AF7"/>
    <w:rsid w:val="006821AF"/>
    <w:rsid w:val="006875C4"/>
    <w:rsid w:val="00690330"/>
    <w:rsid w:val="00693C1C"/>
    <w:rsid w:val="00694AD9"/>
    <w:rsid w:val="006A05F1"/>
    <w:rsid w:val="006A31D4"/>
    <w:rsid w:val="006A4BD5"/>
    <w:rsid w:val="006B0DF0"/>
    <w:rsid w:val="006C08DE"/>
    <w:rsid w:val="006C2BCB"/>
    <w:rsid w:val="006C6435"/>
    <w:rsid w:val="006D04BC"/>
    <w:rsid w:val="006D6F87"/>
    <w:rsid w:val="006E00D0"/>
    <w:rsid w:val="006E4B5C"/>
    <w:rsid w:val="006E74B6"/>
    <w:rsid w:val="006F482C"/>
    <w:rsid w:val="006F5CA1"/>
    <w:rsid w:val="006F790E"/>
    <w:rsid w:val="007152EB"/>
    <w:rsid w:val="00727079"/>
    <w:rsid w:val="00731233"/>
    <w:rsid w:val="00732E7C"/>
    <w:rsid w:val="00736960"/>
    <w:rsid w:val="00737633"/>
    <w:rsid w:val="007415C5"/>
    <w:rsid w:val="00744E21"/>
    <w:rsid w:val="00750168"/>
    <w:rsid w:val="00752E1E"/>
    <w:rsid w:val="007604D8"/>
    <w:rsid w:val="007610D3"/>
    <w:rsid w:val="007658CF"/>
    <w:rsid w:val="007676F4"/>
    <w:rsid w:val="00767EDA"/>
    <w:rsid w:val="007967DD"/>
    <w:rsid w:val="007A45E4"/>
    <w:rsid w:val="007A55B2"/>
    <w:rsid w:val="007A606E"/>
    <w:rsid w:val="007A6A20"/>
    <w:rsid w:val="007B3C92"/>
    <w:rsid w:val="007D504C"/>
    <w:rsid w:val="007E4604"/>
    <w:rsid w:val="007F4274"/>
    <w:rsid w:val="007F58B9"/>
    <w:rsid w:val="00803465"/>
    <w:rsid w:val="008062A6"/>
    <w:rsid w:val="00806409"/>
    <w:rsid w:val="00813EDB"/>
    <w:rsid w:val="00816A83"/>
    <w:rsid w:val="00820CD8"/>
    <w:rsid w:val="00827ECA"/>
    <w:rsid w:val="00832661"/>
    <w:rsid w:val="00837EAA"/>
    <w:rsid w:val="00846E2B"/>
    <w:rsid w:val="008617BD"/>
    <w:rsid w:val="00861D70"/>
    <w:rsid w:val="00862C80"/>
    <w:rsid w:val="00866B3E"/>
    <w:rsid w:val="00892242"/>
    <w:rsid w:val="00894D51"/>
    <w:rsid w:val="0089761C"/>
    <w:rsid w:val="008A5B38"/>
    <w:rsid w:val="008A716E"/>
    <w:rsid w:val="008A7E64"/>
    <w:rsid w:val="008B1B61"/>
    <w:rsid w:val="008B57ED"/>
    <w:rsid w:val="008D076B"/>
    <w:rsid w:val="008D1F10"/>
    <w:rsid w:val="008E13BB"/>
    <w:rsid w:val="00910C20"/>
    <w:rsid w:val="00923FAE"/>
    <w:rsid w:val="00927596"/>
    <w:rsid w:val="00927601"/>
    <w:rsid w:val="00947924"/>
    <w:rsid w:val="00951441"/>
    <w:rsid w:val="00964B14"/>
    <w:rsid w:val="009669B3"/>
    <w:rsid w:val="00974B51"/>
    <w:rsid w:val="00983E2C"/>
    <w:rsid w:val="00991A76"/>
    <w:rsid w:val="0099378B"/>
    <w:rsid w:val="00994A55"/>
    <w:rsid w:val="009951A9"/>
    <w:rsid w:val="0099701A"/>
    <w:rsid w:val="009A3A17"/>
    <w:rsid w:val="009A6235"/>
    <w:rsid w:val="009B619B"/>
    <w:rsid w:val="009C027B"/>
    <w:rsid w:val="009C2C69"/>
    <w:rsid w:val="009C7EEC"/>
    <w:rsid w:val="009D062C"/>
    <w:rsid w:val="009D7F9D"/>
    <w:rsid w:val="009E5A30"/>
    <w:rsid w:val="009E7413"/>
    <w:rsid w:val="009F1CBC"/>
    <w:rsid w:val="00A0555A"/>
    <w:rsid w:val="00A059C7"/>
    <w:rsid w:val="00A077C5"/>
    <w:rsid w:val="00A136F9"/>
    <w:rsid w:val="00A16BDE"/>
    <w:rsid w:val="00A23AC4"/>
    <w:rsid w:val="00A2589D"/>
    <w:rsid w:val="00A26796"/>
    <w:rsid w:val="00A361F7"/>
    <w:rsid w:val="00A42BA2"/>
    <w:rsid w:val="00A44637"/>
    <w:rsid w:val="00A47DB0"/>
    <w:rsid w:val="00A5303A"/>
    <w:rsid w:val="00A5465C"/>
    <w:rsid w:val="00A61671"/>
    <w:rsid w:val="00A63F3A"/>
    <w:rsid w:val="00A645C3"/>
    <w:rsid w:val="00A66503"/>
    <w:rsid w:val="00A72ADF"/>
    <w:rsid w:val="00A7305F"/>
    <w:rsid w:val="00A737C8"/>
    <w:rsid w:val="00A7446C"/>
    <w:rsid w:val="00A81EBE"/>
    <w:rsid w:val="00A9321D"/>
    <w:rsid w:val="00A93F73"/>
    <w:rsid w:val="00A95305"/>
    <w:rsid w:val="00A954F3"/>
    <w:rsid w:val="00AC0396"/>
    <w:rsid w:val="00AC0C4C"/>
    <w:rsid w:val="00AC1087"/>
    <w:rsid w:val="00AC2E8B"/>
    <w:rsid w:val="00AC3166"/>
    <w:rsid w:val="00AC5622"/>
    <w:rsid w:val="00AD762A"/>
    <w:rsid w:val="00AE661C"/>
    <w:rsid w:val="00AF2325"/>
    <w:rsid w:val="00AF45D5"/>
    <w:rsid w:val="00AF46E9"/>
    <w:rsid w:val="00AF6ED7"/>
    <w:rsid w:val="00B03B04"/>
    <w:rsid w:val="00B05AD5"/>
    <w:rsid w:val="00B148A6"/>
    <w:rsid w:val="00B15576"/>
    <w:rsid w:val="00B157C6"/>
    <w:rsid w:val="00B22441"/>
    <w:rsid w:val="00B25572"/>
    <w:rsid w:val="00B25CE2"/>
    <w:rsid w:val="00B27ABA"/>
    <w:rsid w:val="00B34E9B"/>
    <w:rsid w:val="00B4222D"/>
    <w:rsid w:val="00B50EB5"/>
    <w:rsid w:val="00B70246"/>
    <w:rsid w:val="00B81C77"/>
    <w:rsid w:val="00B86916"/>
    <w:rsid w:val="00BA0C38"/>
    <w:rsid w:val="00BA453E"/>
    <w:rsid w:val="00BC24E7"/>
    <w:rsid w:val="00BD0199"/>
    <w:rsid w:val="00BD2263"/>
    <w:rsid w:val="00BD33A8"/>
    <w:rsid w:val="00BD5B8B"/>
    <w:rsid w:val="00BE7E95"/>
    <w:rsid w:val="00C0568C"/>
    <w:rsid w:val="00C12E7E"/>
    <w:rsid w:val="00C13FF4"/>
    <w:rsid w:val="00C232BE"/>
    <w:rsid w:val="00C32781"/>
    <w:rsid w:val="00C40101"/>
    <w:rsid w:val="00C42589"/>
    <w:rsid w:val="00C46F3C"/>
    <w:rsid w:val="00C47015"/>
    <w:rsid w:val="00C47FD3"/>
    <w:rsid w:val="00C616FB"/>
    <w:rsid w:val="00C61FB8"/>
    <w:rsid w:val="00C638EC"/>
    <w:rsid w:val="00C80798"/>
    <w:rsid w:val="00C91E19"/>
    <w:rsid w:val="00C96BDD"/>
    <w:rsid w:val="00CA4A66"/>
    <w:rsid w:val="00CB72B0"/>
    <w:rsid w:val="00CC1438"/>
    <w:rsid w:val="00CC36EC"/>
    <w:rsid w:val="00CC3804"/>
    <w:rsid w:val="00CC4D80"/>
    <w:rsid w:val="00CC5A7A"/>
    <w:rsid w:val="00CD05DC"/>
    <w:rsid w:val="00CD585B"/>
    <w:rsid w:val="00CF03B6"/>
    <w:rsid w:val="00CF38B4"/>
    <w:rsid w:val="00CF436C"/>
    <w:rsid w:val="00D039D3"/>
    <w:rsid w:val="00D06B02"/>
    <w:rsid w:val="00D0767C"/>
    <w:rsid w:val="00D11338"/>
    <w:rsid w:val="00D118C9"/>
    <w:rsid w:val="00D262DF"/>
    <w:rsid w:val="00D31A02"/>
    <w:rsid w:val="00D370DA"/>
    <w:rsid w:val="00D40DCE"/>
    <w:rsid w:val="00D419D3"/>
    <w:rsid w:val="00D44FCE"/>
    <w:rsid w:val="00D519DB"/>
    <w:rsid w:val="00D5513D"/>
    <w:rsid w:val="00D56B97"/>
    <w:rsid w:val="00D573FD"/>
    <w:rsid w:val="00D6039B"/>
    <w:rsid w:val="00D610E9"/>
    <w:rsid w:val="00D6354A"/>
    <w:rsid w:val="00D63560"/>
    <w:rsid w:val="00D64268"/>
    <w:rsid w:val="00D667A3"/>
    <w:rsid w:val="00D679B1"/>
    <w:rsid w:val="00D72C3B"/>
    <w:rsid w:val="00D7392B"/>
    <w:rsid w:val="00D81F6D"/>
    <w:rsid w:val="00D85AED"/>
    <w:rsid w:val="00D87C5B"/>
    <w:rsid w:val="00D92B45"/>
    <w:rsid w:val="00DA40AD"/>
    <w:rsid w:val="00DA6869"/>
    <w:rsid w:val="00DA6EE5"/>
    <w:rsid w:val="00DC0155"/>
    <w:rsid w:val="00DC2AE4"/>
    <w:rsid w:val="00DD0409"/>
    <w:rsid w:val="00DD7222"/>
    <w:rsid w:val="00DD7600"/>
    <w:rsid w:val="00DE3004"/>
    <w:rsid w:val="00DF52B4"/>
    <w:rsid w:val="00DF5800"/>
    <w:rsid w:val="00E0053B"/>
    <w:rsid w:val="00E01871"/>
    <w:rsid w:val="00E119A3"/>
    <w:rsid w:val="00E133C3"/>
    <w:rsid w:val="00E16D29"/>
    <w:rsid w:val="00E20FCD"/>
    <w:rsid w:val="00E21B3D"/>
    <w:rsid w:val="00E245F5"/>
    <w:rsid w:val="00E3109D"/>
    <w:rsid w:val="00E31118"/>
    <w:rsid w:val="00E34506"/>
    <w:rsid w:val="00E40E3A"/>
    <w:rsid w:val="00E42731"/>
    <w:rsid w:val="00E44A17"/>
    <w:rsid w:val="00E461CC"/>
    <w:rsid w:val="00E4750B"/>
    <w:rsid w:val="00E5373A"/>
    <w:rsid w:val="00E554B3"/>
    <w:rsid w:val="00E82689"/>
    <w:rsid w:val="00E8790B"/>
    <w:rsid w:val="00E927CC"/>
    <w:rsid w:val="00E9498C"/>
    <w:rsid w:val="00EA0F6D"/>
    <w:rsid w:val="00EA19C5"/>
    <w:rsid w:val="00EA649C"/>
    <w:rsid w:val="00EA6B35"/>
    <w:rsid w:val="00EC1227"/>
    <w:rsid w:val="00ED5664"/>
    <w:rsid w:val="00ED61F5"/>
    <w:rsid w:val="00EF100A"/>
    <w:rsid w:val="00F00205"/>
    <w:rsid w:val="00F12271"/>
    <w:rsid w:val="00F143FF"/>
    <w:rsid w:val="00F1440D"/>
    <w:rsid w:val="00F17F2A"/>
    <w:rsid w:val="00F20615"/>
    <w:rsid w:val="00F2238C"/>
    <w:rsid w:val="00F22C7F"/>
    <w:rsid w:val="00F246A2"/>
    <w:rsid w:val="00F3139D"/>
    <w:rsid w:val="00F36529"/>
    <w:rsid w:val="00F37C8D"/>
    <w:rsid w:val="00F4080D"/>
    <w:rsid w:val="00F45EED"/>
    <w:rsid w:val="00F50D06"/>
    <w:rsid w:val="00F51263"/>
    <w:rsid w:val="00F56022"/>
    <w:rsid w:val="00F62507"/>
    <w:rsid w:val="00F6288A"/>
    <w:rsid w:val="00F62AF3"/>
    <w:rsid w:val="00F6585C"/>
    <w:rsid w:val="00F754BB"/>
    <w:rsid w:val="00F83487"/>
    <w:rsid w:val="00F85218"/>
    <w:rsid w:val="00F859C5"/>
    <w:rsid w:val="00F87675"/>
    <w:rsid w:val="00F94D4B"/>
    <w:rsid w:val="00F95628"/>
    <w:rsid w:val="00F95DCD"/>
    <w:rsid w:val="00FA210F"/>
    <w:rsid w:val="00FA2AC6"/>
    <w:rsid w:val="00FA5BC1"/>
    <w:rsid w:val="00FA68F8"/>
    <w:rsid w:val="00FC2BD9"/>
    <w:rsid w:val="00FD3E27"/>
    <w:rsid w:val="00FD6B32"/>
    <w:rsid w:val="00FD7B5F"/>
    <w:rsid w:val="00FE15A2"/>
    <w:rsid w:val="00FE36D3"/>
    <w:rsid w:val="00FF146B"/>
    <w:rsid w:val="02985E84"/>
    <w:rsid w:val="040501BA"/>
    <w:rsid w:val="04493554"/>
    <w:rsid w:val="0A246F86"/>
    <w:rsid w:val="0E8547F7"/>
    <w:rsid w:val="0F791E68"/>
    <w:rsid w:val="10665F0D"/>
    <w:rsid w:val="1524112C"/>
    <w:rsid w:val="188D3BD1"/>
    <w:rsid w:val="1A4B3009"/>
    <w:rsid w:val="1AD04E0B"/>
    <w:rsid w:val="1FB73DFC"/>
    <w:rsid w:val="22A0138E"/>
    <w:rsid w:val="244B6BBC"/>
    <w:rsid w:val="2B766EA6"/>
    <w:rsid w:val="2E416B75"/>
    <w:rsid w:val="305A6DDB"/>
    <w:rsid w:val="30F526BD"/>
    <w:rsid w:val="346212CD"/>
    <w:rsid w:val="34880F47"/>
    <w:rsid w:val="35B504B1"/>
    <w:rsid w:val="39E43B1E"/>
    <w:rsid w:val="39E75F08"/>
    <w:rsid w:val="3BBC2004"/>
    <w:rsid w:val="3FB63057"/>
    <w:rsid w:val="40976EB6"/>
    <w:rsid w:val="41C717DC"/>
    <w:rsid w:val="43B03463"/>
    <w:rsid w:val="44A313E2"/>
    <w:rsid w:val="45A27568"/>
    <w:rsid w:val="487611B2"/>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EFF095D"/>
    <w:rsid w:val="6F1F1B00"/>
    <w:rsid w:val="7034536C"/>
    <w:rsid w:val="70C34F55"/>
    <w:rsid w:val="722A38A7"/>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D3ECF6-4823-4BFF-9A62-02231B4FF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uiPriority w:val="9"/>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uiPriority w:val="9"/>
    <w:qFormat/>
    <w:pPr>
      <w:keepNext/>
      <w:numPr>
        <w:ilvl w:val="7"/>
        <w:numId w:val="1"/>
      </w:numPr>
      <w:spacing w:before="120"/>
      <w:outlineLvl w:val="7"/>
    </w:pPr>
    <w:rPr>
      <w:rFonts w:ascii="Arial" w:hAnsi="Arial"/>
    </w:rPr>
  </w:style>
  <w:style w:type="paragraph" w:styleId="9">
    <w:name w:val="heading 9"/>
    <w:basedOn w:val="a"/>
    <w:next w:val="a"/>
    <w:link w:val="90"/>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uiPriority w:val="99"/>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affd">
    <w:name w:val="列表段"/>
    <w:basedOn w:val="a"/>
    <w:next w:val="aff5"/>
    <w:uiPriority w:val="34"/>
    <w:qFormat/>
    <w:pPr>
      <w:snapToGrid/>
      <w:spacing w:after="0"/>
      <w:ind w:leftChars="400" w:left="840"/>
      <w:jc w:val="left"/>
    </w:pPr>
    <w:rPr>
      <w:rFonts w:ascii="Times" w:eastAsia="Batang" w:hAnsi="Times"/>
      <w:szCs w:val="24"/>
    </w:rPr>
  </w:style>
  <w:style w:type="paragraph" w:customStyle="1" w:styleId="Style175">
    <w:name w:val="_Style 175"/>
    <w:basedOn w:val="a"/>
    <w:next w:val="aff5"/>
    <w:uiPriority w:val="34"/>
    <w:qFormat/>
    <w:pPr>
      <w:spacing w:after="0"/>
      <w:ind w:leftChars="400" w:left="840"/>
    </w:pPr>
    <w:rPr>
      <w:rFonts w:ascii="Times" w:eastAsia="Batang" w:hAnsi="Times"/>
      <w:szCs w:val="24"/>
    </w:rPr>
  </w:style>
  <w:style w:type="paragraph" w:customStyle="1" w:styleId="Comments">
    <w:name w:val="Comments"/>
    <w:basedOn w:val="a"/>
    <w:link w:val="CommentsChar"/>
    <w:qFormat/>
    <w:pPr>
      <w:overflowPunct w:val="0"/>
      <w:autoSpaceDE w:val="0"/>
      <w:autoSpaceDN w:val="0"/>
      <w:adjustRightInd w:val="0"/>
      <w:snapToGrid/>
      <w:spacing w:before="40" w:after="0" w:line="276" w:lineRule="auto"/>
      <w:jc w:val="left"/>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AgreementOnLine">
    <w:name w:val="AgreementOnLine"/>
    <w:basedOn w:val="Agreement"/>
    <w:link w:val="AgreementOnLineChar"/>
    <w:qFormat/>
    <w:pPr>
      <w:numPr>
        <w:ilvl w:val="1"/>
        <w:numId w:val="14"/>
      </w:numPr>
      <w:spacing w:after="160"/>
      <w:ind w:left="1619"/>
    </w:pPr>
  </w:style>
  <w:style w:type="character" w:customStyle="1" w:styleId="AgreementOnLineChar">
    <w:name w:val="AgreementOnLine Char"/>
    <w:basedOn w:val="Doc-text2Char"/>
    <w:link w:val="AgreementOnLine"/>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2E270-EE30-4709-83CA-EC8AA5F2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7</Pages>
  <Words>3200</Words>
  <Characters>18242</Characters>
  <Application>Microsoft Office Word</Application>
  <DocSecurity>0</DocSecurity>
  <Lines>152</Lines>
  <Paragraphs>42</Paragraphs>
  <ScaleCrop>false</ScaleCrop>
  <Company>ZTE Corporation</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89</cp:revision>
  <cp:lastPrinted>2002-04-23T01:10:00Z</cp:lastPrinted>
  <dcterms:created xsi:type="dcterms:W3CDTF">2023-09-26T00:42:00Z</dcterms:created>
  <dcterms:modified xsi:type="dcterms:W3CDTF">2024-02-19T01:49:00Z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